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Pupil Premium Strategy Statement – Smallthorne Primary Academy 2025–2026</w:t>
      </w:r>
    </w:p>
    <w:p>
      <w:pPr>
        <w:pStyle w:val="BodyText"/>
      </w:pPr>
      <w:r>
        <w:t xml:space="preserve">This statement details our school’s use of pupil premium funding to help improve the attainment of our disadvantaged pupils. It outlines our pupil premium strategy, how we intend to spend the funding in this academic year, and the outcomes for disadvantaged pupils last academic year.</w:t>
      </w:r>
    </w:p>
    <w:p>
      <w:r>
        <w:pict>
          <v:rect style="width:0;height:1.5pt" o:hralign="center" o:hrstd="t" o:hr="t"/>
        </w:pict>
      </w:r>
    </w:p>
    <w:bookmarkStart w:id="20" w:name="school-overview"/>
    <w:p>
      <w:pPr>
        <w:pStyle w:val="Heading2"/>
      </w:pPr>
      <w:r>
        <w:t xml:space="preserve">School Overview</w:t>
      </w:r>
    </w:p>
    <w:tbl>
      <w:tblPr>
        <w:tblStyle w:val="Table"/>
        <w:tblW w:type="pct" w:w="5000"/>
        <w:tblLayout w:type="fixed"/>
        <w:tblLook w:firstRow="1" w:lastRow="0" w:firstColumn="0" w:lastColumn="0" w:noHBand="0" w:noVBand="0" w:val="0020"/>
      </w:tblPr>
      <w:tblGrid>
        <w:gridCol w:w="4525"/>
        <w:gridCol w:w="3394"/>
      </w:tblGrid>
      <w:tr>
        <w:trPr>
          <w:tblHeader w:val="on"/>
        </w:trPr>
        <w:tc>
          <w:tcPr/>
          <w:p>
            <w:pPr>
              <w:pStyle w:val="Compact"/>
            </w:pPr>
            <w:r>
              <w:t xml:space="preserve">Detail</w:t>
            </w:r>
          </w:p>
        </w:tc>
        <w:tc>
          <w:tcPr/>
          <w:p>
            <w:pPr>
              <w:pStyle w:val="Compact"/>
            </w:pPr>
            <w:r>
              <w:t xml:space="preserve">Data</w:t>
            </w:r>
          </w:p>
        </w:tc>
      </w:tr>
      <w:tr>
        <w:tc>
          <w:tcPr/>
          <w:p>
            <w:pPr>
              <w:pStyle w:val="Compact"/>
            </w:pPr>
            <w:r>
              <w:t xml:space="preserve">Number of pupils in school</w:t>
            </w:r>
          </w:p>
        </w:tc>
        <w:tc>
          <w:tcPr/>
          <w:p>
            <w:pPr>
              <w:pStyle w:val="Compact"/>
            </w:pPr>
            <w:r>
              <w:t xml:space="preserve">200</w:t>
            </w:r>
          </w:p>
        </w:tc>
      </w:tr>
      <w:tr>
        <w:tc>
          <w:tcPr/>
          <w:p>
            <w:pPr>
              <w:pStyle w:val="Compact"/>
            </w:pPr>
            <w:r>
              <w:t xml:space="preserve">Proportion (%) of pupil premium eligible pupils</w:t>
            </w:r>
          </w:p>
        </w:tc>
        <w:tc>
          <w:tcPr/>
          <w:p>
            <w:pPr>
              <w:pStyle w:val="Compact"/>
            </w:pPr>
            <w:r>
              <w:t xml:space="preserve">47%</w:t>
            </w:r>
          </w:p>
        </w:tc>
      </w:tr>
      <w:tr>
        <w:tc>
          <w:tcPr/>
          <w:p>
            <w:pPr>
              <w:pStyle w:val="Compact"/>
            </w:pPr>
            <w:r>
              <w:t xml:space="preserve">Academic year/years that our current pupil premium strategy plan covers</w:t>
            </w:r>
          </w:p>
        </w:tc>
        <w:tc>
          <w:tcPr/>
          <w:p>
            <w:pPr>
              <w:pStyle w:val="Compact"/>
            </w:pPr>
            <w:r>
              <w:t xml:space="preserve">2025/2026 – 2028/2029</w:t>
            </w:r>
          </w:p>
        </w:tc>
      </w:tr>
      <w:tr>
        <w:tc>
          <w:tcPr/>
          <w:p>
            <w:pPr>
              <w:pStyle w:val="Compact"/>
            </w:pPr>
            <w:r>
              <w:t xml:space="preserve">Date this statement was published</w:t>
            </w:r>
          </w:p>
        </w:tc>
        <w:tc>
          <w:tcPr/>
          <w:p>
            <w:pPr>
              <w:pStyle w:val="Compact"/>
            </w:pPr>
            <w:r>
              <w:t xml:space="preserve">October 2025</w:t>
            </w:r>
          </w:p>
        </w:tc>
      </w:tr>
      <w:tr>
        <w:tc>
          <w:tcPr/>
          <w:p>
            <w:pPr>
              <w:pStyle w:val="Compact"/>
            </w:pPr>
            <w:r>
              <w:t xml:space="preserve">Date on which it will be reviewed</w:t>
            </w:r>
          </w:p>
        </w:tc>
        <w:tc>
          <w:tcPr/>
          <w:p>
            <w:pPr>
              <w:pStyle w:val="Compact"/>
            </w:pPr>
            <w:r>
              <w:t xml:space="preserve">July 2026</w:t>
            </w:r>
          </w:p>
        </w:tc>
      </w:tr>
      <w:tr>
        <w:tc>
          <w:tcPr/>
          <w:p>
            <w:pPr>
              <w:pStyle w:val="Compact"/>
            </w:pPr>
            <w:r>
              <w:t xml:space="preserve">Statement authorised by</w:t>
            </w:r>
          </w:p>
        </w:tc>
        <w:tc>
          <w:tcPr/>
          <w:p>
            <w:pPr>
              <w:pStyle w:val="Compact"/>
            </w:pPr>
            <w:r>
              <w:t xml:space="preserve">Tina Steele, Principal</w:t>
            </w:r>
          </w:p>
        </w:tc>
      </w:tr>
      <w:tr>
        <w:tc>
          <w:tcPr/>
          <w:p>
            <w:pPr>
              <w:pStyle w:val="Compact"/>
            </w:pPr>
            <w:r>
              <w:t xml:space="preserve">Governor / Trustee lead</w:t>
            </w:r>
          </w:p>
        </w:tc>
        <w:tc>
          <w:tcPr/>
          <w:p>
            <w:pPr>
              <w:pStyle w:val="Compact"/>
            </w:pPr>
            <w:r>
              <w:t xml:space="preserve">Barbara Mitchell, Lead for Disadvantaged Pupils</w:t>
            </w:r>
          </w:p>
        </w:tc>
      </w:tr>
    </w:tbl>
    <w:p>
      <w:r>
        <w:pict>
          <v:rect style="width:0;height:1.5pt" o:hralign="center" o:hrstd="t" o:hr="t"/>
        </w:pict>
      </w:r>
    </w:p>
    <w:bookmarkEnd w:id="20"/>
    <w:bookmarkStart w:id="21" w:name="funding-overview"/>
    <w:p>
      <w:pPr>
        <w:pStyle w:val="Heading2"/>
      </w:pPr>
      <w:r>
        <w:t xml:space="preserve">Funding Overview</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Detail</w:t>
            </w:r>
          </w:p>
        </w:tc>
        <w:tc>
          <w:tcPr/>
          <w:p>
            <w:pPr>
              <w:pStyle w:val="Compact"/>
            </w:pPr>
            <w:r>
              <w:t xml:space="preserve">Amount</w:t>
            </w:r>
          </w:p>
        </w:tc>
      </w:tr>
      <w:tr>
        <w:tc>
          <w:tcPr/>
          <w:p>
            <w:pPr>
              <w:pStyle w:val="Compact"/>
            </w:pPr>
            <w:r>
              <w:t xml:space="preserve">Pupil premium funding allocation this academic year</w:t>
            </w:r>
          </w:p>
        </w:tc>
        <w:tc>
          <w:tcPr/>
          <w:p>
            <w:pPr>
              <w:pStyle w:val="Compact"/>
            </w:pPr>
            <w:r>
              <w:t xml:space="preserve">£137,865</w:t>
            </w:r>
          </w:p>
        </w:tc>
      </w:tr>
      <w:tr>
        <w:tc>
          <w:tcPr/>
          <w:p>
            <w:pPr>
              <w:pStyle w:val="Compact"/>
            </w:pPr>
            <w:r>
              <w:t xml:space="preserve">Pupil premium funding carried forward from previous years</w:t>
            </w:r>
          </w:p>
        </w:tc>
        <w:tc>
          <w:tcPr/>
          <w:p>
            <w:pPr>
              <w:pStyle w:val="Compact"/>
            </w:pPr>
            <w:r>
              <w:t xml:space="preserve">£0</w:t>
            </w:r>
          </w:p>
        </w:tc>
      </w:tr>
      <w:tr>
        <w:tc>
          <w:tcPr/>
          <w:p>
            <w:pPr>
              <w:pStyle w:val="Compact"/>
            </w:pPr>
            <w:r>
              <w:rPr>
                <w:b/>
                <w:bCs/>
              </w:rPr>
              <w:t xml:space="preserve">Total budget for this academic year</w:t>
            </w:r>
          </w:p>
        </w:tc>
        <w:tc>
          <w:tcPr/>
          <w:p>
            <w:pPr>
              <w:pStyle w:val="Compact"/>
            </w:pPr>
            <w:r>
              <w:rPr>
                <w:b/>
                <w:bCs/>
              </w:rPr>
              <w:t xml:space="preserve">£137,865</w:t>
            </w:r>
          </w:p>
        </w:tc>
      </w:tr>
    </w:tbl>
    <w:p>
      <w:r>
        <w:pict>
          <v:rect style="width:0;height:1.5pt" o:hralign="center" o:hrstd="t" o:hr="t"/>
        </w:pict>
      </w:r>
    </w:p>
    <w:bookmarkEnd w:id="21"/>
    <w:bookmarkStart w:id="29" w:name="part-a-pupil-premium-strategy-plan"/>
    <w:p>
      <w:pPr>
        <w:pStyle w:val="Heading2"/>
      </w:pPr>
      <w:r>
        <w:t xml:space="preserve">Part A: Pupil Premium Strategy Plan</w:t>
      </w:r>
    </w:p>
    <w:bookmarkStart w:id="22" w:name="statement-of-intent"/>
    <w:p>
      <w:pPr>
        <w:pStyle w:val="Heading3"/>
      </w:pPr>
      <w:r>
        <w:t xml:space="preserve">Statement of Intent</w:t>
      </w:r>
    </w:p>
    <w:p>
      <w:pPr>
        <w:pStyle w:val="FirstParagraph"/>
      </w:pPr>
      <w:r>
        <w:t xml:space="preserve">Building on the success of 2024/25, where disadvantaged pupils achieved outcomes in line with or above their peers, our 2025/26 strategy focuses on sustaining these outcomes, developing language, reading stamina, and resilience through our Character and Arts curriculum.</w:t>
      </w:r>
    </w:p>
    <w:p>
      <w:pPr>
        <w:pStyle w:val="BodyText"/>
      </w:pPr>
      <w:r>
        <w:t xml:space="preserve">Our vision is to ensure that every child, regardless of their background or circumstances, achieves their full potential. We aim to provide a nurturing, inclusive, and enriching learning environment where every child can thrive academically, socially, and emotionally.</w:t>
      </w:r>
    </w:p>
    <w:p>
      <w:pPr>
        <w:pStyle w:val="BodyText"/>
      </w:pPr>
      <w:r>
        <w:t xml:space="preserve">Our approach continues to focus on:</w:t>
      </w:r>
      <w:r>
        <w:t xml:space="preserve"> </w:t>
      </w:r>
      <w:r>
        <w:t xml:space="preserve">- High-quality teaching and professional development for staff.</w:t>
      </w:r>
      <w:r>
        <w:t xml:space="preserve"> </w:t>
      </w:r>
      <w:r>
        <w:t xml:space="preserve">- Targeted interventions and early identification of barriers.</w:t>
      </w:r>
      <w:r>
        <w:t xml:space="preserve"> </w:t>
      </w:r>
      <w:r>
        <w:t xml:space="preserve">- Enrichment and cultural capital through Character and Arts.</w:t>
      </w:r>
      <w:r>
        <w:t xml:space="preserve"> </w:t>
      </w:r>
      <w:r>
        <w:t xml:space="preserve">- Family engagement and wellbeing support aligned with CLT priorities.</w:t>
      </w:r>
      <w:r>
        <w:t xml:space="preserve"> </w:t>
      </w:r>
      <w:r>
        <w:t xml:space="preserve">- A whole-school ethos of</w:t>
      </w:r>
      <w:r>
        <w:t xml:space="preserve"> </w:t>
      </w:r>
      <w:r>
        <w:t xml:space="preserve">‘Smile, Strive, Shine’</w:t>
      </w:r>
      <w:r>
        <w:t xml:space="preserve"> </w:t>
      </w:r>
      <w:r>
        <w:t xml:space="preserve">underpinning all actions.</w:t>
      </w:r>
    </w:p>
    <w:p>
      <w:r>
        <w:pict>
          <v:rect style="width:0;height:1.5pt" o:hralign="center" o:hrstd="t" o:hr="t"/>
        </w:pict>
      </w:r>
    </w:p>
    <w:bookmarkEnd w:id="22"/>
    <w:bookmarkStart w:id="23" w:name="challenges"/>
    <w:p>
      <w:pPr>
        <w:pStyle w:val="Heading3"/>
      </w:pPr>
      <w:r>
        <w:t xml:space="preserve">Challenges</w:t>
      </w:r>
    </w:p>
    <w:tbl>
      <w:tblPr>
        <w:tblStyle w:val="Table"/>
        <w:tblW w:type="pct" w:w="5000"/>
        <w:tblLayout w:type="fixed"/>
        <w:tblLook w:firstRow="1" w:lastRow="0" w:firstColumn="0" w:lastColumn="0" w:noHBand="0" w:noVBand="0" w:val="0020"/>
      </w:tblPr>
      <w:tblGrid>
        <w:gridCol w:w="4525"/>
        <w:gridCol w:w="3394"/>
      </w:tblGrid>
      <w:tr>
        <w:trPr>
          <w:tblHeader w:val="on"/>
        </w:trPr>
        <w:tc>
          <w:tcPr/>
          <w:p>
            <w:pPr>
              <w:pStyle w:val="Compact"/>
            </w:pPr>
            <w:r>
              <w:t xml:space="preserve">Challenge</w:t>
            </w:r>
          </w:p>
        </w:tc>
        <w:tc>
          <w:tcPr/>
          <w:p>
            <w:pPr>
              <w:pStyle w:val="Compact"/>
            </w:pPr>
            <w:r>
              <w:t xml:space="preserve">Detail</w:t>
            </w:r>
          </w:p>
        </w:tc>
      </w:tr>
      <w:tr>
        <w:tc>
          <w:tcPr/>
          <w:p>
            <w:pPr>
              <w:pStyle w:val="Compact"/>
            </w:pPr>
            <w:r>
              <w:t xml:space="preserve">1</w:t>
            </w:r>
          </w:p>
        </w:tc>
        <w:tc>
          <w:tcPr/>
          <w:p>
            <w:pPr>
              <w:pStyle w:val="Compact"/>
            </w:pPr>
            <w:r>
              <w:t xml:space="preserve">Underdeveloped oral language skills and vocabulary gaps identified through baseline assessments and observations.</w:t>
            </w:r>
          </w:p>
        </w:tc>
      </w:tr>
      <w:tr>
        <w:tc>
          <w:tcPr/>
          <w:p>
            <w:pPr>
              <w:pStyle w:val="Compact"/>
            </w:pPr>
            <w:r>
              <w:t xml:space="preserve">2</w:t>
            </w:r>
          </w:p>
        </w:tc>
        <w:tc>
          <w:tcPr/>
          <w:p>
            <w:pPr>
              <w:pStyle w:val="Compact"/>
            </w:pPr>
            <w:r>
              <w:t xml:space="preserve">Phonics attainment for some disadvantaged pupils remains below peers; continued focus on Little Wandle and EAL support.</w:t>
            </w:r>
          </w:p>
        </w:tc>
      </w:tr>
      <w:tr>
        <w:tc>
          <w:tcPr/>
          <w:p>
            <w:pPr>
              <w:pStyle w:val="Compact"/>
            </w:pPr>
            <w:r>
              <w:t xml:space="preserve">3</w:t>
            </w:r>
          </w:p>
        </w:tc>
        <w:tc>
          <w:tcPr/>
          <w:p>
            <w:pPr>
              <w:pStyle w:val="Compact"/>
            </w:pPr>
            <w:r>
              <w:t xml:space="preserve">Attainment gaps in writing and GDS targets for KS2 pupils.</w:t>
            </w:r>
          </w:p>
        </w:tc>
      </w:tr>
      <w:tr>
        <w:tc>
          <w:tcPr/>
          <w:p>
            <w:pPr>
              <w:pStyle w:val="Compact"/>
            </w:pPr>
            <w:r>
              <w:t xml:space="preserve">4</w:t>
            </w:r>
          </w:p>
        </w:tc>
        <w:tc>
          <w:tcPr/>
          <w:p>
            <w:pPr>
              <w:pStyle w:val="Compact"/>
            </w:pPr>
            <w:r>
              <w:t xml:space="preserve">Persistent absence among disadvantaged pupils remains slightly higher than non-disadvantaged peers.</w:t>
            </w:r>
          </w:p>
        </w:tc>
      </w:tr>
      <w:tr>
        <w:tc>
          <w:tcPr/>
          <w:p>
            <w:pPr>
              <w:pStyle w:val="Compact"/>
            </w:pPr>
            <w:r>
              <w:t xml:space="preserve">5</w:t>
            </w:r>
          </w:p>
        </w:tc>
        <w:tc>
          <w:tcPr/>
          <w:p>
            <w:pPr>
              <w:pStyle w:val="Compact"/>
            </w:pPr>
            <w:r>
              <w:t xml:space="preserve">Social, emotional, and wellbeing issues linked to cost-of-living pressures and limited enrichment experiences.</w:t>
            </w:r>
          </w:p>
        </w:tc>
      </w:tr>
      <w:tr>
        <w:tc>
          <w:tcPr/>
          <w:p>
            <w:pPr>
              <w:pStyle w:val="Compact"/>
            </w:pPr>
            <w:r>
              <w:t xml:space="preserve">6</w:t>
            </w:r>
          </w:p>
        </w:tc>
        <w:tc>
          <w:tcPr/>
          <w:p>
            <w:pPr>
              <w:pStyle w:val="Compact"/>
            </w:pPr>
            <w:r>
              <w:t xml:space="preserve">Parental engagement in learning and attendance support remains an area for improvement.</w:t>
            </w:r>
          </w:p>
        </w:tc>
      </w:tr>
    </w:tbl>
    <w:p>
      <w:r>
        <w:pict>
          <v:rect style="width:0;height:1.5pt" o:hralign="center" o:hrstd="t" o:hr="t"/>
        </w:pict>
      </w:r>
    </w:p>
    <w:bookmarkEnd w:id="23"/>
    <w:bookmarkStart w:id="24" w:name="intended-outcomes"/>
    <w:p>
      <w:pPr>
        <w:pStyle w:val="Heading3"/>
      </w:pPr>
      <w:r>
        <w:t xml:space="preserve">Intended Outcomes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Intended Outcome</w:t>
            </w:r>
          </w:p>
        </w:tc>
        <w:tc>
          <w:tcPr/>
          <w:p>
            <w:pPr>
              <w:pStyle w:val="Compact"/>
            </w:pPr>
            <w:r>
              <w:t xml:space="preserve">Success Criteria</w:t>
            </w:r>
          </w:p>
        </w:tc>
      </w:tr>
      <w:tr>
        <w:tc>
          <w:tcPr/>
          <w:p>
            <w:pPr>
              <w:pStyle w:val="Compact"/>
            </w:pPr>
            <w:r>
              <w:t xml:space="preserve">Improved vocabulary and language in EYFS and KS1</w:t>
            </w:r>
          </w:p>
        </w:tc>
        <w:tc>
          <w:tcPr/>
          <w:p>
            <w:pPr>
              <w:pStyle w:val="Compact"/>
            </w:pPr>
            <w:r>
              <w:t xml:space="preserve">70%+ of disadvantaged children achieve GLD; measurable progress in Speech &amp; Language assessments.</w:t>
            </w:r>
          </w:p>
        </w:tc>
      </w:tr>
      <w:tr>
        <w:tc>
          <w:tcPr/>
          <w:p>
            <w:pPr>
              <w:pStyle w:val="Compact"/>
            </w:pPr>
            <w:r>
              <w:t xml:space="preserve">Improved phonics attainment</w:t>
            </w:r>
          </w:p>
        </w:tc>
        <w:tc>
          <w:tcPr/>
          <w:p>
            <w:pPr>
              <w:pStyle w:val="Compact"/>
            </w:pPr>
            <w:r>
              <w:t xml:space="preserve">80%+ disadvantaged pupils pass Y1 Phonics Screen; all receive targeted Little Wandle intervention.</w:t>
            </w:r>
          </w:p>
        </w:tc>
      </w:tr>
      <w:tr>
        <w:tc>
          <w:tcPr/>
          <w:p>
            <w:pPr>
              <w:pStyle w:val="Compact"/>
            </w:pPr>
            <w:r>
              <w:t xml:space="preserve">Sustained attainment in reading and writing</w:t>
            </w:r>
          </w:p>
        </w:tc>
        <w:tc>
          <w:tcPr/>
          <w:p>
            <w:pPr>
              <w:pStyle w:val="Compact"/>
            </w:pPr>
            <w:r>
              <w:t xml:space="preserve">Disadvantaged pupils’ attainment remains within 5% of non-PP peers; increased GDS rates.</w:t>
            </w:r>
          </w:p>
        </w:tc>
      </w:tr>
      <w:tr>
        <w:tc>
          <w:tcPr/>
          <w:p>
            <w:pPr>
              <w:pStyle w:val="Compact"/>
            </w:pPr>
            <w:r>
              <w:t xml:space="preserve">Improved attendance</w:t>
            </w:r>
          </w:p>
        </w:tc>
        <w:tc>
          <w:tcPr/>
          <w:p>
            <w:pPr>
              <w:pStyle w:val="Compact"/>
            </w:pPr>
            <w:r>
              <w:t xml:space="preserve">Disadvantaged pupil attendance maintained at 95%+; persistent absence &lt;10%.</w:t>
            </w:r>
          </w:p>
        </w:tc>
      </w:tr>
      <w:tr>
        <w:tc>
          <w:tcPr/>
          <w:p>
            <w:pPr>
              <w:pStyle w:val="Compact"/>
            </w:pPr>
            <w:r>
              <w:t xml:space="preserve">Improved wellbeing and engagement</w:t>
            </w:r>
          </w:p>
        </w:tc>
        <w:tc>
          <w:tcPr/>
          <w:p>
            <w:pPr>
              <w:pStyle w:val="Compact"/>
            </w:pPr>
            <w:r>
              <w:t xml:space="preserve">Positive pupil/parent voice and increased participation in enrichment and Character &amp; Arts activities.</w:t>
            </w:r>
          </w:p>
        </w:tc>
      </w:tr>
    </w:tbl>
    <w:p>
      <w:r>
        <w:pict>
          <v:rect style="width:0;height:1.5pt" o:hralign="center" o:hrstd="t" o:hr="t"/>
        </w:pict>
      </w:r>
    </w:p>
    <w:bookmarkEnd w:id="24"/>
    <w:bookmarkStart w:id="28" w:name="activity-in-this-academic-year"/>
    <w:p>
      <w:pPr>
        <w:pStyle w:val="Heading3"/>
      </w:pPr>
      <w:r>
        <w:t xml:space="preserve">Activity in This Academic Year</w:t>
      </w:r>
    </w:p>
    <w:p>
      <w:pPr>
        <w:pStyle w:val="FirstParagraph"/>
      </w:pPr>
      <w:r>
        <w:t xml:space="preserve">This section details how we intend to spend our pupil premium funding to address the identified challenges.</w:t>
      </w:r>
    </w:p>
    <w:bookmarkStart w:id="25" w:name="teaching-60000"/>
    <w:p>
      <w:pPr>
        <w:pStyle w:val="Heading4"/>
      </w:pPr>
      <w:r>
        <w:t xml:space="preserve">Teaching (£60,000)</w:t>
      </w:r>
    </w:p>
    <w:p>
      <w:pPr>
        <w:pStyle w:val="Compact"/>
        <w:numPr>
          <w:ilvl w:val="0"/>
          <w:numId w:val="1001"/>
        </w:numPr>
      </w:pPr>
      <w:r>
        <w:t xml:space="preserve">Continued CPD for reading, writing, and vocabulary instruction.</w:t>
      </w:r>
    </w:p>
    <w:p>
      <w:pPr>
        <w:pStyle w:val="Compact"/>
        <w:numPr>
          <w:ilvl w:val="0"/>
          <w:numId w:val="1001"/>
        </w:numPr>
      </w:pPr>
      <w:r>
        <w:t xml:space="preserve">Coaching and modelling of high-quality first teaching.</w:t>
      </w:r>
    </w:p>
    <w:p>
      <w:pPr>
        <w:pStyle w:val="Compact"/>
        <w:numPr>
          <w:ilvl w:val="0"/>
          <w:numId w:val="1001"/>
        </w:numPr>
      </w:pPr>
      <w:r>
        <w:t xml:space="preserve">Moderation and curriculum time for Character and Arts integration.</w:t>
      </w:r>
    </w:p>
    <w:p>
      <w:pPr>
        <w:pStyle w:val="Compact"/>
        <w:numPr>
          <w:ilvl w:val="0"/>
          <w:numId w:val="1001"/>
        </w:numPr>
      </w:pPr>
      <w:r>
        <w:t xml:space="preserve">Diagnostic assessments and use of data to target support.</w:t>
      </w:r>
    </w:p>
    <w:bookmarkEnd w:id="25"/>
    <w:bookmarkStart w:id="26" w:name="targeted-academic-support-50000"/>
    <w:p>
      <w:pPr>
        <w:pStyle w:val="Heading4"/>
      </w:pPr>
      <w:r>
        <w:t xml:space="preserve">Targeted Academic Support (£50,000)</w:t>
      </w:r>
    </w:p>
    <w:p>
      <w:pPr>
        <w:pStyle w:val="Compact"/>
        <w:numPr>
          <w:ilvl w:val="0"/>
          <w:numId w:val="1002"/>
        </w:numPr>
      </w:pPr>
      <w:r>
        <w:t xml:space="preserve">Little Wandle and Lexonik Leap interventions.</w:t>
      </w:r>
    </w:p>
    <w:p>
      <w:pPr>
        <w:pStyle w:val="Compact"/>
        <w:numPr>
          <w:ilvl w:val="0"/>
          <w:numId w:val="1002"/>
        </w:numPr>
      </w:pPr>
      <w:r>
        <w:t xml:space="preserve">Speech and language programmes in EYFS and KS1.</w:t>
      </w:r>
    </w:p>
    <w:p>
      <w:pPr>
        <w:pStyle w:val="Compact"/>
        <w:numPr>
          <w:ilvl w:val="0"/>
          <w:numId w:val="1002"/>
        </w:numPr>
      </w:pPr>
      <w:r>
        <w:t xml:space="preserve">KS2 reading fluency tutoring and writing catch-up groups.</w:t>
      </w:r>
    </w:p>
    <w:p>
      <w:pPr>
        <w:pStyle w:val="Compact"/>
        <w:numPr>
          <w:ilvl w:val="0"/>
          <w:numId w:val="1002"/>
        </w:numPr>
      </w:pPr>
      <w:r>
        <w:t xml:space="preserve">SEND support teacher for small-group and one-to-one interventions.</w:t>
      </w:r>
    </w:p>
    <w:bookmarkEnd w:id="26"/>
    <w:bookmarkStart w:id="27" w:name="wider-strategies-27865"/>
    <w:p>
      <w:pPr>
        <w:pStyle w:val="Heading4"/>
      </w:pPr>
      <w:r>
        <w:t xml:space="preserve">Wider Strategies (£27,865)</w:t>
      </w:r>
    </w:p>
    <w:p>
      <w:pPr>
        <w:pStyle w:val="Compact"/>
        <w:numPr>
          <w:ilvl w:val="0"/>
          <w:numId w:val="1003"/>
        </w:numPr>
      </w:pPr>
      <w:r>
        <w:t xml:space="preserve">Attendance officer and incentive programme.</w:t>
      </w:r>
    </w:p>
    <w:p>
      <w:pPr>
        <w:pStyle w:val="Compact"/>
        <w:numPr>
          <w:ilvl w:val="0"/>
          <w:numId w:val="1003"/>
        </w:numPr>
      </w:pPr>
      <w:r>
        <w:t xml:space="preserve">Breakfast/Nurture Club for readiness to learn.</w:t>
      </w:r>
    </w:p>
    <w:p>
      <w:pPr>
        <w:pStyle w:val="Compact"/>
        <w:numPr>
          <w:ilvl w:val="0"/>
          <w:numId w:val="1003"/>
        </w:numPr>
      </w:pPr>
      <w:r>
        <w:t xml:space="preserve">Character and Arts enrichment including music, trips, and clubs.</w:t>
      </w:r>
    </w:p>
    <w:p>
      <w:pPr>
        <w:pStyle w:val="Compact"/>
        <w:numPr>
          <w:ilvl w:val="0"/>
          <w:numId w:val="1003"/>
        </w:numPr>
      </w:pPr>
      <w:r>
        <w:t xml:space="preserve">Family workshops on reading, routines, and wellbeing.</w:t>
      </w:r>
    </w:p>
    <w:p>
      <w:r>
        <w:pict>
          <v:rect style="width:0;height:1.5pt" o:hralign="center" o:hrstd="t" o:hr="t"/>
        </w:pict>
      </w:r>
    </w:p>
    <w:bookmarkEnd w:id="27"/>
    <w:bookmarkEnd w:id="28"/>
    <w:bookmarkEnd w:id="29"/>
    <w:bookmarkStart w:id="31" w:name="X17bbc16b7fce13dd07645a21383217aa28ee071"/>
    <w:p>
      <w:pPr>
        <w:pStyle w:val="Heading2"/>
      </w:pPr>
      <w:r>
        <w:t xml:space="preserve">Part B: Review of the Previous Academic Year</w:t>
      </w:r>
    </w:p>
    <w:bookmarkStart w:id="30" w:name="outcomes-for-disadvantaged-pupils-202425"/>
    <w:p>
      <w:pPr>
        <w:pStyle w:val="Heading3"/>
      </w:pPr>
      <w:r>
        <w:t xml:space="preserve">Outcomes for Disadvantaged Pupils (2024/25)</w:t>
      </w:r>
    </w:p>
    <w:p>
      <w:pPr>
        <w:pStyle w:val="FirstParagraph"/>
      </w:pPr>
      <w:r>
        <w:t xml:space="preserve">Analysis of outcomes for 2024/25 highlights a mixed picture with several notable strengths and areas for continued focus.</w:t>
      </w:r>
    </w:p>
    <w:p>
      <w:pPr>
        <w:numPr>
          <w:ilvl w:val="0"/>
          <w:numId w:val="1004"/>
        </w:numPr>
      </w:pPr>
      <w:r>
        <w:rPr>
          <w:b/>
          <w:bCs/>
        </w:rPr>
        <w:t xml:space="preserve">EYFS:</w:t>
      </w:r>
      <w:r>
        <w:t xml:space="preserve"> </w:t>
      </w:r>
      <w:r>
        <w:t xml:space="preserve">Data shows a decrease in the percentage of disadvantaged pupils achieving a Good Level of Development (GLD) in reading and writing. In contrast, non-disadvantaged attainment improved, widening the gap slightly in literacy outcomes. However, in</w:t>
      </w:r>
      <w:r>
        <w:t xml:space="preserve"> </w:t>
      </w:r>
      <w:r>
        <w:rPr>
          <w:b/>
          <w:bCs/>
        </w:rPr>
        <w:t xml:space="preserve">mathematics</w:t>
      </w:r>
      <w:r>
        <w:t xml:space="preserve">, both disadvantaged and non-disadvantaged pupils showed improvement, indicating strong early number provision.</w:t>
      </w:r>
    </w:p>
    <w:p>
      <w:pPr>
        <w:numPr>
          <w:ilvl w:val="0"/>
          <w:numId w:val="1004"/>
        </w:numPr>
      </w:pPr>
      <w:r>
        <w:rPr>
          <w:b/>
          <w:bCs/>
        </w:rPr>
        <w:t xml:space="preserve">Phonics (Year 1 &amp; Year 2):</w:t>
      </w:r>
      <w:r>
        <w:t xml:space="preserve"> </w:t>
      </w:r>
      <w:r>
        <w:t xml:space="preserve">Disadvantaged pupils</w:t>
      </w:r>
      <w:r>
        <w:t xml:space="preserve"> </w:t>
      </w:r>
      <w:r>
        <w:rPr>
          <w:b/>
          <w:bCs/>
        </w:rPr>
        <w:t xml:space="preserve">outperformed their non-disadvantaged peers</w:t>
      </w:r>
      <w:r>
        <w:t xml:space="preserve"> </w:t>
      </w:r>
      <w:r>
        <w:t xml:space="preserve">in both Year 1 and Year 2 phonics screening checks. This reflects the consistent impact of high-quality phonics teaching and targeted Little Wandle interventions.</w:t>
      </w:r>
    </w:p>
    <w:p>
      <w:pPr>
        <w:numPr>
          <w:ilvl w:val="0"/>
          <w:numId w:val="1004"/>
        </w:numPr>
      </w:pPr>
      <w:r>
        <w:rPr>
          <w:b/>
          <w:bCs/>
        </w:rPr>
        <w:t xml:space="preserve">Key Stage 2 SATs:</w:t>
      </w:r>
      <w:r>
        <w:t xml:space="preserve"> </w:t>
      </w:r>
      <w:r>
        <w:t xml:space="preserve">Although there was a slight reduction in the overall number of pupils achieving the expected standard in reading, writing and maths,</w:t>
      </w:r>
      <w:r>
        <w:t xml:space="preserve"> </w:t>
      </w:r>
      <w:r>
        <w:rPr>
          <w:b/>
          <w:bCs/>
        </w:rPr>
        <w:t xml:space="preserve">the proportion of disadvantaged pupils achieving Greater Depth (GDS) increased</w:t>
      </w:r>
      <w:r>
        <w:t xml:space="preserve">, showing strong progress for higher attainers.</w:t>
      </w:r>
    </w:p>
    <w:p>
      <w:pPr>
        <w:pStyle w:val="Compact"/>
        <w:numPr>
          <w:ilvl w:val="1"/>
          <w:numId w:val="1005"/>
        </w:numPr>
      </w:pPr>
      <w:r>
        <w:t xml:space="preserve">In</w:t>
      </w:r>
      <w:r>
        <w:t xml:space="preserve"> </w:t>
      </w:r>
      <w:r>
        <w:rPr>
          <w:b/>
          <w:bCs/>
        </w:rPr>
        <w:t xml:space="preserve">writing</w:t>
      </w:r>
      <w:r>
        <w:t xml:space="preserve">, attainment for disadvantaged pupils remained stable, with more pupils achieving GDS. In contrast, non-disadvantaged attainment in writing declined slightly.</w:t>
      </w:r>
    </w:p>
    <w:p>
      <w:pPr>
        <w:pStyle w:val="Compact"/>
        <w:numPr>
          <w:ilvl w:val="1"/>
          <w:numId w:val="1005"/>
        </w:numPr>
      </w:pPr>
      <w:r>
        <w:t xml:space="preserve">In</w:t>
      </w:r>
      <w:r>
        <w:t xml:space="preserve"> </w:t>
      </w:r>
      <w:r>
        <w:rPr>
          <w:b/>
          <w:bCs/>
        </w:rPr>
        <w:t xml:space="preserve">maths</w:t>
      </w:r>
      <w:r>
        <w:t xml:space="preserve">, both groups showed a reduction in the percentage achieving the expected standard, but there was a</w:t>
      </w:r>
      <w:r>
        <w:t xml:space="preserve"> </w:t>
      </w:r>
      <w:r>
        <w:rPr>
          <w:b/>
          <w:bCs/>
        </w:rPr>
        <w:t xml:space="preserve">significant rise in the proportion of disadvantaged pupils achieving GDS</w:t>
      </w:r>
      <w:r>
        <w:t xml:space="preserve">, suggesting that interventions to deepen understanding and reasoning are proving effective.</w:t>
      </w:r>
    </w:p>
    <w:p>
      <w:pPr>
        <w:pStyle w:val="FirstParagraph"/>
      </w:pPr>
      <w:r>
        <w:t xml:space="preserve">Overall, the 2024/25 data demonstrates that disadvantaged pupils continue to make strong progress from their starting points, particularly in phonics and higher-order achievement at KS2. The strategy going forward will focus on narrowing literacy gaps identified in EYFS and sustaining high achievement and depth in maths and writing across all cohorts.</w:t>
      </w:r>
    </w:p>
    <w:p>
      <w:r>
        <w:pict>
          <v:rect style="width:0;height:1.5pt" o:hralign="center" o:hrstd="t" o:hr="t"/>
        </w:pict>
      </w:r>
    </w:p>
    <w:bookmarkEnd w:id="30"/>
    <w:bookmarkEnd w:id="31"/>
    <w:bookmarkStart w:id="32" w:name="further-information"/>
    <w:p>
      <w:pPr>
        <w:pStyle w:val="Heading2"/>
      </w:pPr>
      <w:r>
        <w:t xml:space="preserve">Further Information</w:t>
      </w:r>
    </w:p>
    <w:p>
      <w:pPr>
        <w:pStyle w:val="FirstParagraph"/>
      </w:pPr>
      <w:r>
        <w:t xml:space="preserve">Our Pupil Premium strategy is closely aligned with the Character and Arts curriculum and the principles of</w:t>
      </w:r>
      <w:r>
        <w:t xml:space="preserve"> </w:t>
      </w:r>
      <w:r>
        <w:t xml:space="preserve">‘Smile, Strive, Shine’</w:t>
      </w:r>
      <w:r>
        <w:t xml:space="preserve">. This ensures disadvantaged pupils have equal access to creative, cultural, and academic opportunities, developing both academic achievement and personal growth.</w:t>
      </w:r>
    </w:p>
    <w:bookmarkEnd w:id="3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2025-10-21T13:14:25Z</dcterms:created>
  <dcterms:modified xsi:type="dcterms:W3CDTF">2025-10-21T13:14:25Z</dcterms:modified>
</cp:coreProperties>
</file>

<file path=docProps/custom.xml><?xml version="1.0" encoding="utf-8"?>
<Properties xmlns="http://schemas.openxmlformats.org/officeDocument/2006/custom-properties" xmlns:vt="http://schemas.openxmlformats.org/officeDocument/2006/docPropsVTypes"/>
</file>