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5DDE" w14:textId="77777777" w:rsidR="00D867AA" w:rsidRDefault="00000000">
      <w:pPr>
        <w:pStyle w:val="FirstParagraph"/>
      </w:pPr>
      <w:r>
        <w:t>Pupil Premium Strategy Statement – Smallthorne Primary Academy 2025–2026</w:t>
      </w:r>
    </w:p>
    <w:p w14:paraId="6F5BF26D" w14:textId="77777777" w:rsidR="00D867AA" w:rsidRDefault="00000000">
      <w:pPr>
        <w:pStyle w:val="BodyText"/>
      </w:pPr>
      <w:r>
        <w:t>This statement details our school’s use of pupil premium funding to help improve the attainment of our disadvantaged pupils. It outlines our pupil premium strategy, how we intend to spend the funding in this academic year, and the outcomes for disadvantaged pupils last academic year.</w:t>
      </w:r>
    </w:p>
    <w:p w14:paraId="35702534" w14:textId="77777777" w:rsidR="00D867AA" w:rsidRDefault="00000000">
      <w:r>
        <w:pict w14:anchorId="47C55FDD">
          <v:rect id="_x0000_i1025" style="width:0;height:1.5pt" o:hralign="center" o:hrstd="t" o:hr="t"/>
        </w:pict>
      </w:r>
    </w:p>
    <w:p w14:paraId="2A4FFB0F" w14:textId="77777777" w:rsidR="00D867AA" w:rsidRDefault="00000000">
      <w:pPr>
        <w:pStyle w:val="Heading2"/>
      </w:pPr>
      <w:bookmarkStart w:id="0" w:name="school-overview"/>
      <w:r>
        <w:t>School Overview</w:t>
      </w:r>
    </w:p>
    <w:tbl>
      <w:tblPr>
        <w:tblStyle w:val="Table"/>
        <w:tblW w:w="5000" w:type="pct"/>
        <w:tblLayout w:type="fixed"/>
        <w:tblLook w:val="0020" w:firstRow="1" w:lastRow="0" w:firstColumn="0" w:lastColumn="0" w:noHBand="0" w:noVBand="0"/>
      </w:tblPr>
      <w:tblGrid>
        <w:gridCol w:w="5472"/>
        <w:gridCol w:w="4104"/>
      </w:tblGrid>
      <w:tr w:rsidR="00D867AA" w14:paraId="51B93811" w14:textId="77777777" w:rsidTr="00D867AA">
        <w:trPr>
          <w:cnfStyle w:val="100000000000" w:firstRow="1" w:lastRow="0" w:firstColumn="0" w:lastColumn="0" w:oddVBand="0" w:evenVBand="0" w:oddHBand="0" w:evenHBand="0" w:firstRowFirstColumn="0" w:firstRowLastColumn="0" w:lastRowFirstColumn="0" w:lastRowLastColumn="0"/>
          <w:tblHeader/>
        </w:trPr>
        <w:tc>
          <w:tcPr>
            <w:tcW w:w="4525" w:type="dxa"/>
          </w:tcPr>
          <w:p w14:paraId="595F26A5" w14:textId="77777777" w:rsidR="00D867AA" w:rsidRDefault="00000000">
            <w:pPr>
              <w:pStyle w:val="Compact"/>
            </w:pPr>
            <w:r>
              <w:t>Detail</w:t>
            </w:r>
          </w:p>
        </w:tc>
        <w:tc>
          <w:tcPr>
            <w:tcW w:w="3394" w:type="dxa"/>
          </w:tcPr>
          <w:p w14:paraId="325A6AA0" w14:textId="77777777" w:rsidR="00D867AA" w:rsidRDefault="00000000">
            <w:pPr>
              <w:pStyle w:val="Compact"/>
            </w:pPr>
            <w:r>
              <w:t>Data</w:t>
            </w:r>
          </w:p>
        </w:tc>
      </w:tr>
      <w:tr w:rsidR="00D867AA" w14:paraId="0498E086" w14:textId="77777777">
        <w:tc>
          <w:tcPr>
            <w:tcW w:w="4525" w:type="dxa"/>
          </w:tcPr>
          <w:p w14:paraId="49A8CA01" w14:textId="77777777" w:rsidR="00D867AA" w:rsidRDefault="00000000">
            <w:pPr>
              <w:pStyle w:val="Compact"/>
            </w:pPr>
            <w:r>
              <w:t>Number of pupils in school</w:t>
            </w:r>
          </w:p>
        </w:tc>
        <w:tc>
          <w:tcPr>
            <w:tcW w:w="3394" w:type="dxa"/>
          </w:tcPr>
          <w:p w14:paraId="6B5A5C6E" w14:textId="77777777" w:rsidR="00D867AA" w:rsidRDefault="00000000">
            <w:pPr>
              <w:pStyle w:val="Compact"/>
            </w:pPr>
            <w:r>
              <w:t>200</w:t>
            </w:r>
          </w:p>
        </w:tc>
      </w:tr>
      <w:tr w:rsidR="00D867AA" w14:paraId="530709A1" w14:textId="77777777">
        <w:tc>
          <w:tcPr>
            <w:tcW w:w="4525" w:type="dxa"/>
          </w:tcPr>
          <w:p w14:paraId="77EA3231" w14:textId="77777777" w:rsidR="00D867AA" w:rsidRDefault="00000000">
            <w:pPr>
              <w:pStyle w:val="Compact"/>
            </w:pPr>
            <w:r>
              <w:t>Proportion (%) of pupil premium eligible pupils</w:t>
            </w:r>
          </w:p>
        </w:tc>
        <w:tc>
          <w:tcPr>
            <w:tcW w:w="3394" w:type="dxa"/>
          </w:tcPr>
          <w:p w14:paraId="6E9486DF" w14:textId="77777777" w:rsidR="00D867AA" w:rsidRDefault="00000000">
            <w:pPr>
              <w:pStyle w:val="Compact"/>
            </w:pPr>
            <w:r>
              <w:t>47%</w:t>
            </w:r>
          </w:p>
        </w:tc>
      </w:tr>
      <w:tr w:rsidR="00D867AA" w14:paraId="1D9DF164" w14:textId="77777777">
        <w:tc>
          <w:tcPr>
            <w:tcW w:w="4525" w:type="dxa"/>
          </w:tcPr>
          <w:p w14:paraId="50093FA0" w14:textId="77777777" w:rsidR="00D867AA" w:rsidRDefault="00000000">
            <w:pPr>
              <w:pStyle w:val="Compact"/>
            </w:pPr>
            <w:r>
              <w:t>Academic year/years that our current pupil premium strategy plan covers</w:t>
            </w:r>
          </w:p>
        </w:tc>
        <w:tc>
          <w:tcPr>
            <w:tcW w:w="3394" w:type="dxa"/>
          </w:tcPr>
          <w:p w14:paraId="0DDACAAC" w14:textId="77777777" w:rsidR="00D867AA" w:rsidRDefault="00000000">
            <w:pPr>
              <w:pStyle w:val="Compact"/>
            </w:pPr>
            <w:r>
              <w:t>2025/2026 – 2028/2029</w:t>
            </w:r>
          </w:p>
        </w:tc>
      </w:tr>
      <w:tr w:rsidR="00D867AA" w14:paraId="411E5165" w14:textId="77777777">
        <w:tc>
          <w:tcPr>
            <w:tcW w:w="4525" w:type="dxa"/>
          </w:tcPr>
          <w:p w14:paraId="4F42590D" w14:textId="77777777" w:rsidR="00D867AA" w:rsidRDefault="00000000">
            <w:pPr>
              <w:pStyle w:val="Compact"/>
            </w:pPr>
            <w:r>
              <w:t>Date this statement was published</w:t>
            </w:r>
          </w:p>
        </w:tc>
        <w:tc>
          <w:tcPr>
            <w:tcW w:w="3394" w:type="dxa"/>
          </w:tcPr>
          <w:p w14:paraId="3F5F2BC1" w14:textId="77777777" w:rsidR="00D867AA" w:rsidRDefault="00000000">
            <w:pPr>
              <w:pStyle w:val="Compact"/>
            </w:pPr>
            <w:r>
              <w:t>October 2025</w:t>
            </w:r>
          </w:p>
        </w:tc>
      </w:tr>
      <w:tr w:rsidR="00D867AA" w14:paraId="22F20F72" w14:textId="77777777">
        <w:tc>
          <w:tcPr>
            <w:tcW w:w="4525" w:type="dxa"/>
          </w:tcPr>
          <w:p w14:paraId="43257811" w14:textId="77777777" w:rsidR="00D867AA" w:rsidRDefault="00000000">
            <w:pPr>
              <w:pStyle w:val="Compact"/>
            </w:pPr>
            <w:r>
              <w:t>Date on which it will be reviewed</w:t>
            </w:r>
          </w:p>
        </w:tc>
        <w:tc>
          <w:tcPr>
            <w:tcW w:w="3394" w:type="dxa"/>
          </w:tcPr>
          <w:p w14:paraId="0F7BFEFE" w14:textId="77777777" w:rsidR="00D867AA" w:rsidRDefault="00000000">
            <w:pPr>
              <w:pStyle w:val="Compact"/>
            </w:pPr>
            <w:r>
              <w:t>July 2026</w:t>
            </w:r>
          </w:p>
        </w:tc>
      </w:tr>
      <w:tr w:rsidR="00D867AA" w14:paraId="206D3BC3" w14:textId="77777777">
        <w:tc>
          <w:tcPr>
            <w:tcW w:w="4525" w:type="dxa"/>
          </w:tcPr>
          <w:p w14:paraId="3B475298" w14:textId="77777777" w:rsidR="00D867AA" w:rsidRDefault="00000000">
            <w:pPr>
              <w:pStyle w:val="Compact"/>
            </w:pPr>
            <w:r>
              <w:t>Statement authorised by</w:t>
            </w:r>
          </w:p>
        </w:tc>
        <w:tc>
          <w:tcPr>
            <w:tcW w:w="3394" w:type="dxa"/>
          </w:tcPr>
          <w:p w14:paraId="3A386451" w14:textId="77777777" w:rsidR="00D867AA" w:rsidRDefault="00000000">
            <w:pPr>
              <w:pStyle w:val="Compact"/>
            </w:pPr>
            <w:r>
              <w:t>Tina Steele, Principal</w:t>
            </w:r>
          </w:p>
        </w:tc>
      </w:tr>
      <w:tr w:rsidR="00D867AA" w14:paraId="584B07BC" w14:textId="77777777">
        <w:tc>
          <w:tcPr>
            <w:tcW w:w="4525" w:type="dxa"/>
          </w:tcPr>
          <w:p w14:paraId="199A747F" w14:textId="77777777" w:rsidR="00D867AA" w:rsidRDefault="00000000">
            <w:pPr>
              <w:pStyle w:val="Compact"/>
            </w:pPr>
            <w:r>
              <w:t>Governor / Trustee lead</w:t>
            </w:r>
          </w:p>
        </w:tc>
        <w:tc>
          <w:tcPr>
            <w:tcW w:w="3394" w:type="dxa"/>
          </w:tcPr>
          <w:p w14:paraId="5573D8A5" w14:textId="77777777" w:rsidR="00D867AA" w:rsidRDefault="00000000">
            <w:pPr>
              <w:pStyle w:val="Compact"/>
            </w:pPr>
            <w:r>
              <w:t>Barbara Mitchell, Lead for Disadvantaged Pupils</w:t>
            </w:r>
          </w:p>
        </w:tc>
      </w:tr>
    </w:tbl>
    <w:p w14:paraId="51749050" w14:textId="77777777" w:rsidR="00D867AA" w:rsidRDefault="00000000">
      <w:r>
        <w:pict w14:anchorId="79FB70C8">
          <v:rect id="_x0000_i1026" style="width:0;height:1.5pt" o:hralign="center" o:hrstd="t" o:hr="t"/>
        </w:pict>
      </w:r>
    </w:p>
    <w:p w14:paraId="7FD11ECE" w14:textId="77777777" w:rsidR="00D867AA" w:rsidRDefault="00000000">
      <w:pPr>
        <w:pStyle w:val="Heading2"/>
      </w:pPr>
      <w:bookmarkStart w:id="1" w:name="funding-overview"/>
      <w:bookmarkEnd w:id="0"/>
      <w:r>
        <w:t>Funding Overview</w:t>
      </w:r>
    </w:p>
    <w:tbl>
      <w:tblPr>
        <w:tblStyle w:val="Table"/>
        <w:tblW w:w="0" w:type="auto"/>
        <w:tblLook w:val="0020" w:firstRow="1" w:lastRow="0" w:firstColumn="0" w:lastColumn="0" w:noHBand="0" w:noVBand="0"/>
      </w:tblPr>
      <w:tblGrid>
        <w:gridCol w:w="6278"/>
        <w:gridCol w:w="1186"/>
      </w:tblGrid>
      <w:tr w:rsidR="00D867AA" w14:paraId="3BE05FF4" w14:textId="77777777" w:rsidTr="00D867AA">
        <w:trPr>
          <w:cnfStyle w:val="100000000000" w:firstRow="1" w:lastRow="0" w:firstColumn="0" w:lastColumn="0" w:oddVBand="0" w:evenVBand="0" w:oddHBand="0" w:evenHBand="0" w:firstRowFirstColumn="0" w:firstRowLastColumn="0" w:lastRowFirstColumn="0" w:lastRowLastColumn="0"/>
          <w:tblHeader/>
        </w:trPr>
        <w:tc>
          <w:tcPr>
            <w:tcW w:w="0" w:type="auto"/>
          </w:tcPr>
          <w:p w14:paraId="1497CB8F" w14:textId="77777777" w:rsidR="00D867AA" w:rsidRDefault="00000000">
            <w:pPr>
              <w:pStyle w:val="Compact"/>
            </w:pPr>
            <w:r>
              <w:t>Detail</w:t>
            </w:r>
          </w:p>
        </w:tc>
        <w:tc>
          <w:tcPr>
            <w:tcW w:w="0" w:type="auto"/>
          </w:tcPr>
          <w:p w14:paraId="1E68F735" w14:textId="77777777" w:rsidR="00D867AA" w:rsidRDefault="00000000">
            <w:pPr>
              <w:pStyle w:val="Compact"/>
            </w:pPr>
            <w:r>
              <w:t>Amount</w:t>
            </w:r>
          </w:p>
        </w:tc>
      </w:tr>
      <w:tr w:rsidR="00D867AA" w14:paraId="015F22DD" w14:textId="77777777">
        <w:tc>
          <w:tcPr>
            <w:tcW w:w="0" w:type="auto"/>
          </w:tcPr>
          <w:p w14:paraId="29CDFA38" w14:textId="77777777" w:rsidR="00D867AA" w:rsidRDefault="00000000">
            <w:pPr>
              <w:pStyle w:val="Compact"/>
            </w:pPr>
            <w:r>
              <w:t>Pupil premium funding allocation this academic year</w:t>
            </w:r>
          </w:p>
        </w:tc>
        <w:tc>
          <w:tcPr>
            <w:tcW w:w="0" w:type="auto"/>
          </w:tcPr>
          <w:p w14:paraId="5E05035E" w14:textId="77777777" w:rsidR="00D867AA" w:rsidRDefault="00000000">
            <w:pPr>
              <w:pStyle w:val="Compact"/>
            </w:pPr>
            <w:r>
              <w:t>£137,865</w:t>
            </w:r>
          </w:p>
        </w:tc>
      </w:tr>
      <w:tr w:rsidR="00D867AA" w14:paraId="03E99D70" w14:textId="77777777">
        <w:tc>
          <w:tcPr>
            <w:tcW w:w="0" w:type="auto"/>
          </w:tcPr>
          <w:p w14:paraId="39C93979" w14:textId="77777777" w:rsidR="00D867AA" w:rsidRDefault="00000000">
            <w:pPr>
              <w:pStyle w:val="Compact"/>
            </w:pPr>
            <w:r>
              <w:t>Pupil premium funding carried forward from previous years</w:t>
            </w:r>
          </w:p>
        </w:tc>
        <w:tc>
          <w:tcPr>
            <w:tcW w:w="0" w:type="auto"/>
          </w:tcPr>
          <w:p w14:paraId="77AEB1D8" w14:textId="77777777" w:rsidR="00D867AA" w:rsidRDefault="00000000">
            <w:pPr>
              <w:pStyle w:val="Compact"/>
            </w:pPr>
            <w:r>
              <w:t>£0</w:t>
            </w:r>
          </w:p>
        </w:tc>
      </w:tr>
      <w:tr w:rsidR="00D867AA" w14:paraId="0242D954" w14:textId="77777777">
        <w:tc>
          <w:tcPr>
            <w:tcW w:w="0" w:type="auto"/>
          </w:tcPr>
          <w:p w14:paraId="34498FCE" w14:textId="77777777" w:rsidR="00D867AA" w:rsidRDefault="00000000">
            <w:pPr>
              <w:pStyle w:val="Compact"/>
            </w:pPr>
            <w:r>
              <w:rPr>
                <w:b/>
                <w:bCs/>
              </w:rPr>
              <w:t>Total budget for this academic year</w:t>
            </w:r>
          </w:p>
        </w:tc>
        <w:tc>
          <w:tcPr>
            <w:tcW w:w="0" w:type="auto"/>
          </w:tcPr>
          <w:p w14:paraId="051E9B92" w14:textId="77777777" w:rsidR="00D867AA" w:rsidRDefault="00000000">
            <w:pPr>
              <w:pStyle w:val="Compact"/>
            </w:pPr>
            <w:r>
              <w:rPr>
                <w:b/>
                <w:bCs/>
              </w:rPr>
              <w:t>£137,865</w:t>
            </w:r>
          </w:p>
        </w:tc>
      </w:tr>
    </w:tbl>
    <w:p w14:paraId="59982236" w14:textId="77777777" w:rsidR="00D867AA" w:rsidRDefault="00000000">
      <w:r>
        <w:pict w14:anchorId="3E229E25">
          <v:rect id="_x0000_i1027" style="width:0;height:1.5pt" o:hralign="center" o:hrstd="t" o:hr="t"/>
        </w:pict>
      </w:r>
    </w:p>
    <w:p w14:paraId="3C656263" w14:textId="77777777" w:rsidR="00D867AA" w:rsidRDefault="00000000">
      <w:pPr>
        <w:pStyle w:val="Heading2"/>
      </w:pPr>
      <w:bookmarkStart w:id="2" w:name="part-a-pupil-premium-strategy-plan"/>
      <w:bookmarkEnd w:id="1"/>
      <w:r>
        <w:t>Part A: Pupil Premium Strategy Plan</w:t>
      </w:r>
    </w:p>
    <w:p w14:paraId="187C489C" w14:textId="77777777" w:rsidR="00D867AA" w:rsidRDefault="00000000">
      <w:pPr>
        <w:pStyle w:val="Heading3"/>
      </w:pPr>
      <w:bookmarkStart w:id="3" w:name="statement-of-intent"/>
      <w:r>
        <w:t>Statement of Intent</w:t>
      </w:r>
    </w:p>
    <w:p w14:paraId="72FA3793" w14:textId="77777777" w:rsidR="00D867AA" w:rsidRDefault="00000000">
      <w:pPr>
        <w:pStyle w:val="FirstParagraph"/>
      </w:pPr>
      <w:r>
        <w:t>Building on the success of 2024/25, where disadvantaged pupils achieved outcomes in line with or above their peers, our 2025/26 strategy focuses on sustaining these outcomes, developing language, reading stamina, and resilience through our Character and Arts curriculum.</w:t>
      </w:r>
    </w:p>
    <w:p w14:paraId="3DAB3164" w14:textId="7BA75956" w:rsidR="00977178" w:rsidRPr="00977178" w:rsidRDefault="00977178" w:rsidP="00977178">
      <w:pPr>
        <w:rPr>
          <w:lang w:val="en-GB"/>
        </w:rPr>
      </w:pPr>
      <w:r w:rsidRPr="00977178">
        <w:rPr>
          <w:lang w:val="en-GB"/>
        </w:rPr>
        <w:t>Our Pupil Premium Strategy is grounded in a clear and accurate understanding of the needs, barriers and starting points of disadvantaged pupils at Smallthorne Primary Academy</w:t>
      </w:r>
      <w:r>
        <w:rPr>
          <w:lang w:val="en-GB"/>
        </w:rPr>
        <w:t>.</w:t>
      </w:r>
      <w:r w:rsidRPr="00977178">
        <w:rPr>
          <w:lang w:val="en-GB"/>
        </w:rPr>
        <w:t xml:space="preserve"> </w:t>
      </w:r>
      <w:r>
        <w:rPr>
          <w:lang w:val="en-GB"/>
        </w:rPr>
        <w:t>T</w:t>
      </w:r>
      <w:r w:rsidRPr="00977178">
        <w:rPr>
          <w:lang w:val="en-GB"/>
        </w:rPr>
        <w:t xml:space="preserve">he strategy is designed to reduce barriers to learning and well-being through </w:t>
      </w:r>
      <w:r w:rsidRPr="00977178">
        <w:rPr>
          <w:lang w:val="en-GB"/>
        </w:rPr>
        <w:lastRenderedPageBreak/>
        <w:t>high-quality, inclusive teaching, timely intervention, and a well-sequenced, ambitious curriculum.</w:t>
      </w:r>
    </w:p>
    <w:p w14:paraId="6B92AEB4" w14:textId="77777777" w:rsidR="00977178" w:rsidRPr="00977178" w:rsidRDefault="00977178" w:rsidP="00977178">
      <w:pPr>
        <w:rPr>
          <w:lang w:val="en-GB"/>
        </w:rPr>
      </w:pPr>
      <w:r w:rsidRPr="00977178">
        <w:rPr>
          <w:lang w:val="en-GB"/>
        </w:rPr>
        <w:t xml:space="preserve">We prioritise the rapid development of </w:t>
      </w:r>
      <w:r w:rsidRPr="00977178">
        <w:rPr>
          <w:b/>
          <w:bCs/>
          <w:lang w:val="en-GB"/>
        </w:rPr>
        <w:t>communication, vocabulary, early reading, writing and mathematics</w:t>
      </w:r>
      <w:r w:rsidRPr="00977178">
        <w:rPr>
          <w:lang w:val="en-GB"/>
        </w:rPr>
        <w:t xml:space="preserve">, ensuring disadvantaged pupils secure strong foundational knowledge so they can access the full curriculum and make sustained progress over time. Our approach reflects a </w:t>
      </w:r>
      <w:r w:rsidRPr="00977178">
        <w:rPr>
          <w:b/>
          <w:bCs/>
          <w:lang w:val="en-GB"/>
        </w:rPr>
        <w:t>graduated cycle of assess–plan–do–review</w:t>
      </w:r>
      <w:r w:rsidRPr="00977178">
        <w:rPr>
          <w:lang w:val="en-GB"/>
        </w:rPr>
        <w:t>, drawing on high-quality research (EEF evidence base), robust diagnostic assessment, and insights from leaders, teachers, families and specialists.</w:t>
      </w:r>
    </w:p>
    <w:p w14:paraId="75452660" w14:textId="77777777" w:rsidR="00977178" w:rsidRPr="00977178" w:rsidRDefault="00977178" w:rsidP="00977178">
      <w:pPr>
        <w:rPr>
          <w:lang w:val="en-GB"/>
        </w:rPr>
      </w:pPr>
      <w:r w:rsidRPr="00977178">
        <w:rPr>
          <w:lang w:val="en-GB"/>
        </w:rPr>
        <w:t>Our strategy is aligned with whole-school improvement priorities, including the Character &amp; Arts Curriculum, which broadens cultural capital and enhances language development. We maintain high expectations for all pupils and implement approaches that are routinely monitored, evaluated, and adapted to ensure disadvantaged pupils achieve well and are well-prepared for the next stage of their learning.</w:t>
      </w:r>
    </w:p>
    <w:p w14:paraId="2633DBD9" w14:textId="77777777" w:rsidR="00D867AA" w:rsidRDefault="00000000">
      <w:r>
        <w:pict w14:anchorId="5119C416">
          <v:rect id="_x0000_i1123" style="width:0;height:1.5pt" o:hralign="center" o:hrstd="t" o:hr="t"/>
        </w:pict>
      </w:r>
    </w:p>
    <w:p w14:paraId="2E85CC1B" w14:textId="77777777" w:rsidR="00D867AA" w:rsidRDefault="00000000">
      <w:pPr>
        <w:pStyle w:val="Heading3"/>
      </w:pPr>
      <w:bookmarkStart w:id="4" w:name="challenges"/>
      <w:bookmarkEnd w:id="3"/>
      <w:r>
        <w:t>Challenges</w:t>
      </w:r>
    </w:p>
    <w:tbl>
      <w:tblPr>
        <w:tblStyle w:val="Table"/>
        <w:tblW w:w="5000" w:type="pct"/>
        <w:tblLayout w:type="fixed"/>
        <w:tblLook w:val="0020" w:firstRow="1" w:lastRow="0" w:firstColumn="0" w:lastColumn="0" w:noHBand="0" w:noVBand="0"/>
      </w:tblPr>
      <w:tblGrid>
        <w:gridCol w:w="5472"/>
        <w:gridCol w:w="4104"/>
      </w:tblGrid>
      <w:tr w:rsidR="00D867AA" w14:paraId="0FB0E520" w14:textId="77777777" w:rsidTr="00D867AA">
        <w:trPr>
          <w:cnfStyle w:val="100000000000" w:firstRow="1" w:lastRow="0" w:firstColumn="0" w:lastColumn="0" w:oddVBand="0" w:evenVBand="0" w:oddHBand="0" w:evenHBand="0" w:firstRowFirstColumn="0" w:firstRowLastColumn="0" w:lastRowFirstColumn="0" w:lastRowLastColumn="0"/>
          <w:tblHeader/>
        </w:trPr>
        <w:tc>
          <w:tcPr>
            <w:tcW w:w="4525" w:type="dxa"/>
          </w:tcPr>
          <w:p w14:paraId="5DF3EB18" w14:textId="77777777" w:rsidR="00D867AA" w:rsidRDefault="00000000">
            <w:pPr>
              <w:pStyle w:val="Compact"/>
            </w:pPr>
            <w:r>
              <w:t>Challenge</w:t>
            </w:r>
          </w:p>
        </w:tc>
        <w:tc>
          <w:tcPr>
            <w:tcW w:w="3394" w:type="dxa"/>
          </w:tcPr>
          <w:p w14:paraId="718ED5E7" w14:textId="77777777" w:rsidR="00D867AA" w:rsidRDefault="00000000">
            <w:pPr>
              <w:pStyle w:val="Compact"/>
            </w:pPr>
            <w:r>
              <w:t>Detail</w:t>
            </w:r>
          </w:p>
        </w:tc>
      </w:tr>
      <w:tr w:rsidR="00D867AA" w14:paraId="2E0EB8D9" w14:textId="77777777">
        <w:tc>
          <w:tcPr>
            <w:tcW w:w="4525" w:type="dxa"/>
          </w:tcPr>
          <w:p w14:paraId="1052A6D0" w14:textId="77777777" w:rsidR="00D867AA" w:rsidRDefault="00000000">
            <w:pPr>
              <w:pStyle w:val="Compact"/>
            </w:pPr>
            <w:r>
              <w:t>1</w:t>
            </w:r>
          </w:p>
        </w:tc>
        <w:tc>
          <w:tcPr>
            <w:tcW w:w="3394" w:type="dxa"/>
          </w:tcPr>
          <w:p w14:paraId="1CDDF465" w14:textId="64F24DAC" w:rsidR="00977178" w:rsidRPr="00977178" w:rsidRDefault="00977178" w:rsidP="00977178">
            <w:pPr>
              <w:pStyle w:val="Compact"/>
              <w:rPr>
                <w:lang w:val="en-GB"/>
              </w:rPr>
            </w:pPr>
            <w:r w:rsidRPr="00977178">
              <w:rPr>
                <w:b/>
                <w:bCs/>
                <w:lang w:val="en-GB"/>
              </w:rPr>
              <w:t>Underdeveloped communication and vocabulary</w:t>
            </w:r>
            <w:r w:rsidRPr="00977178">
              <w:rPr>
                <w:lang w:val="en-GB"/>
              </w:rPr>
              <w:t xml:space="preserve"> on entry, particularly within EYFS and KS1, limiting pupils’ ability to access the wider curriculum.</w:t>
            </w:r>
          </w:p>
          <w:p w14:paraId="4DD63727" w14:textId="75ADB4A9" w:rsidR="00D867AA" w:rsidRDefault="00D867AA" w:rsidP="00977178">
            <w:pPr>
              <w:pStyle w:val="Compact"/>
            </w:pPr>
          </w:p>
        </w:tc>
      </w:tr>
      <w:tr w:rsidR="00D867AA" w14:paraId="6D5FACAD" w14:textId="77777777">
        <w:tc>
          <w:tcPr>
            <w:tcW w:w="4525" w:type="dxa"/>
          </w:tcPr>
          <w:p w14:paraId="05D622F8" w14:textId="77777777" w:rsidR="00D867AA" w:rsidRDefault="00000000">
            <w:pPr>
              <w:pStyle w:val="Compact"/>
            </w:pPr>
            <w:r>
              <w:t>2</w:t>
            </w:r>
          </w:p>
        </w:tc>
        <w:tc>
          <w:tcPr>
            <w:tcW w:w="3394" w:type="dxa"/>
          </w:tcPr>
          <w:p w14:paraId="0308382C" w14:textId="13D0A9B2" w:rsidR="00D867AA" w:rsidRDefault="00977178">
            <w:pPr>
              <w:pStyle w:val="Compact"/>
            </w:pPr>
            <w:r w:rsidRPr="00977178">
              <w:rPr>
                <w:b/>
                <w:bCs/>
                <w:lang w:val="en-GB"/>
              </w:rPr>
              <w:t>Lower phonics fluency for some disadvantaged pupils</w:t>
            </w:r>
            <w:r w:rsidRPr="00977178">
              <w:rPr>
                <w:lang w:val="en-GB"/>
              </w:rPr>
              <w:t>, requiring precise and systematic early reading intervention.</w:t>
            </w:r>
          </w:p>
        </w:tc>
      </w:tr>
      <w:tr w:rsidR="00D867AA" w14:paraId="0C1E9E25" w14:textId="77777777">
        <w:tc>
          <w:tcPr>
            <w:tcW w:w="4525" w:type="dxa"/>
          </w:tcPr>
          <w:p w14:paraId="0A7047A3" w14:textId="77777777" w:rsidR="00D867AA" w:rsidRDefault="00000000">
            <w:pPr>
              <w:pStyle w:val="Compact"/>
            </w:pPr>
            <w:r>
              <w:t>3</w:t>
            </w:r>
          </w:p>
        </w:tc>
        <w:tc>
          <w:tcPr>
            <w:tcW w:w="3394" w:type="dxa"/>
          </w:tcPr>
          <w:p w14:paraId="58DEC80E" w14:textId="77777777" w:rsidR="00977178" w:rsidRPr="00977178" w:rsidRDefault="00977178" w:rsidP="00977178">
            <w:pPr>
              <w:pStyle w:val="Compact"/>
              <w:rPr>
                <w:lang w:val="en-GB"/>
              </w:rPr>
            </w:pPr>
            <w:r w:rsidRPr="00977178">
              <w:rPr>
                <w:b/>
                <w:bCs/>
                <w:lang w:val="en-GB"/>
              </w:rPr>
              <w:t>Gaps in writing fluency and attainment</w:t>
            </w:r>
            <w:r w:rsidRPr="00977178">
              <w:rPr>
                <w:lang w:val="en-GB"/>
              </w:rPr>
              <w:t>, including limited proportion achieving GDS by KS2.</w:t>
            </w:r>
          </w:p>
          <w:p w14:paraId="1078FA14" w14:textId="29E1DCC2" w:rsidR="00D867AA" w:rsidRDefault="00D867AA">
            <w:pPr>
              <w:pStyle w:val="Compact"/>
            </w:pPr>
          </w:p>
        </w:tc>
      </w:tr>
      <w:tr w:rsidR="00D867AA" w14:paraId="1922780D" w14:textId="77777777">
        <w:tc>
          <w:tcPr>
            <w:tcW w:w="4525" w:type="dxa"/>
          </w:tcPr>
          <w:p w14:paraId="0DA5B2DB" w14:textId="77777777" w:rsidR="00D867AA" w:rsidRDefault="00000000">
            <w:pPr>
              <w:pStyle w:val="Compact"/>
            </w:pPr>
            <w:r>
              <w:t>4</w:t>
            </w:r>
          </w:p>
        </w:tc>
        <w:tc>
          <w:tcPr>
            <w:tcW w:w="3394" w:type="dxa"/>
          </w:tcPr>
          <w:p w14:paraId="2B03AD9A" w14:textId="62C6D72F" w:rsidR="00977178" w:rsidRPr="00977178" w:rsidRDefault="00977178" w:rsidP="00977178">
            <w:pPr>
              <w:pStyle w:val="Compact"/>
              <w:rPr>
                <w:lang w:val="en-GB"/>
              </w:rPr>
            </w:pPr>
            <w:r w:rsidRPr="00977178">
              <w:rPr>
                <w:b/>
                <w:bCs/>
                <w:lang w:val="en-GB"/>
              </w:rPr>
              <w:t>Persistent absence rates</w:t>
            </w:r>
            <w:r w:rsidRPr="00977178">
              <w:rPr>
                <w:lang w:val="en-GB"/>
              </w:rPr>
              <w:t xml:space="preserve"> that are higher for disadvantaged pupils, affecting readiness to learn and curriculum access.</w:t>
            </w:r>
          </w:p>
          <w:p w14:paraId="28CB44FD" w14:textId="32100103" w:rsidR="00D867AA" w:rsidRDefault="00D867AA">
            <w:pPr>
              <w:pStyle w:val="Compact"/>
            </w:pPr>
          </w:p>
        </w:tc>
      </w:tr>
      <w:tr w:rsidR="00D867AA" w14:paraId="01D8D32A" w14:textId="77777777">
        <w:tc>
          <w:tcPr>
            <w:tcW w:w="4525" w:type="dxa"/>
          </w:tcPr>
          <w:p w14:paraId="5A6451E7" w14:textId="77777777" w:rsidR="00D867AA" w:rsidRDefault="00000000">
            <w:pPr>
              <w:pStyle w:val="Compact"/>
            </w:pPr>
            <w:r>
              <w:t>5</w:t>
            </w:r>
          </w:p>
        </w:tc>
        <w:tc>
          <w:tcPr>
            <w:tcW w:w="3394" w:type="dxa"/>
          </w:tcPr>
          <w:p w14:paraId="570CE2C3" w14:textId="77777777" w:rsidR="00977178" w:rsidRPr="00977178" w:rsidRDefault="00977178" w:rsidP="00977178">
            <w:pPr>
              <w:pStyle w:val="Compact"/>
              <w:rPr>
                <w:lang w:val="en-GB"/>
              </w:rPr>
            </w:pPr>
            <w:r w:rsidRPr="00977178">
              <w:rPr>
                <w:b/>
                <w:bCs/>
                <w:lang w:val="en-GB"/>
              </w:rPr>
              <w:t>Social, emotional and well-being needs</w:t>
            </w:r>
            <w:r w:rsidRPr="00977178">
              <w:rPr>
                <w:lang w:val="en-GB"/>
              </w:rPr>
              <w:t>, linked to contextual pressures, reducing engagement and regulation.</w:t>
            </w:r>
          </w:p>
          <w:p w14:paraId="55A6FA2F" w14:textId="24D9EAAE" w:rsidR="00D867AA" w:rsidRDefault="00D867AA">
            <w:pPr>
              <w:pStyle w:val="Compact"/>
            </w:pPr>
          </w:p>
        </w:tc>
      </w:tr>
      <w:tr w:rsidR="00D867AA" w14:paraId="448FD1B1" w14:textId="77777777">
        <w:tc>
          <w:tcPr>
            <w:tcW w:w="4525" w:type="dxa"/>
          </w:tcPr>
          <w:p w14:paraId="7629AFEC" w14:textId="77777777" w:rsidR="00D867AA" w:rsidRDefault="00000000">
            <w:pPr>
              <w:pStyle w:val="Compact"/>
            </w:pPr>
            <w:r>
              <w:lastRenderedPageBreak/>
              <w:t>6</w:t>
            </w:r>
          </w:p>
        </w:tc>
        <w:tc>
          <w:tcPr>
            <w:tcW w:w="3394" w:type="dxa"/>
          </w:tcPr>
          <w:p w14:paraId="28BA983E" w14:textId="77777777" w:rsidR="00977178" w:rsidRPr="00977178" w:rsidRDefault="00977178" w:rsidP="00977178">
            <w:pPr>
              <w:pStyle w:val="Compact"/>
              <w:rPr>
                <w:lang w:val="en-GB"/>
              </w:rPr>
            </w:pPr>
            <w:r w:rsidRPr="00977178">
              <w:rPr>
                <w:b/>
                <w:bCs/>
                <w:lang w:val="en-GB"/>
              </w:rPr>
              <w:t>Variable parental engagement</w:t>
            </w:r>
            <w:r w:rsidRPr="00977178">
              <w:rPr>
                <w:lang w:val="en-GB"/>
              </w:rPr>
              <w:t>, particularly around reading, attendance routines, and home learning.</w:t>
            </w:r>
          </w:p>
          <w:p w14:paraId="384EDD62" w14:textId="5968E8DF" w:rsidR="00D867AA" w:rsidRDefault="00D867AA">
            <w:pPr>
              <w:pStyle w:val="Compact"/>
            </w:pPr>
          </w:p>
        </w:tc>
      </w:tr>
    </w:tbl>
    <w:p w14:paraId="5C6C4C04" w14:textId="77777777" w:rsidR="00D867AA" w:rsidRDefault="00000000">
      <w:r>
        <w:pict w14:anchorId="6484673E">
          <v:rect id="_x0000_i1124" style="width:0;height:1.5pt" o:hralign="center" o:hrstd="t" o:hr="t"/>
        </w:pict>
      </w:r>
    </w:p>
    <w:p w14:paraId="41AD11B1" w14:textId="77777777" w:rsidR="00D867AA" w:rsidRDefault="00000000">
      <w:pPr>
        <w:pStyle w:val="Heading3"/>
      </w:pPr>
      <w:bookmarkStart w:id="5" w:name="intended-outcomes"/>
      <w:bookmarkEnd w:id="4"/>
      <w:r>
        <w:t>Intended Outcomes</w:t>
      </w:r>
    </w:p>
    <w:tbl>
      <w:tblPr>
        <w:tblStyle w:val="Table"/>
        <w:tblW w:w="5000" w:type="pct"/>
        <w:tblLayout w:type="fixed"/>
        <w:tblLook w:val="0020" w:firstRow="1" w:lastRow="0" w:firstColumn="0" w:lastColumn="0" w:noHBand="0" w:noVBand="0"/>
      </w:tblPr>
      <w:tblGrid>
        <w:gridCol w:w="4788"/>
        <w:gridCol w:w="4788"/>
      </w:tblGrid>
      <w:tr w:rsidR="00D867AA" w14:paraId="5ADC268D" w14:textId="77777777" w:rsidTr="00D867AA">
        <w:trPr>
          <w:cnfStyle w:val="100000000000" w:firstRow="1" w:lastRow="0" w:firstColumn="0" w:lastColumn="0" w:oddVBand="0" w:evenVBand="0" w:oddHBand="0" w:evenHBand="0" w:firstRowFirstColumn="0" w:firstRowLastColumn="0" w:lastRowFirstColumn="0" w:lastRowLastColumn="0"/>
          <w:tblHeader/>
        </w:trPr>
        <w:tc>
          <w:tcPr>
            <w:tcW w:w="3960" w:type="dxa"/>
          </w:tcPr>
          <w:p w14:paraId="278C7DC8" w14:textId="77777777" w:rsidR="00D867AA" w:rsidRDefault="00000000">
            <w:pPr>
              <w:pStyle w:val="Compact"/>
            </w:pPr>
            <w:r>
              <w:t>Intended Outcome</w:t>
            </w:r>
          </w:p>
        </w:tc>
        <w:tc>
          <w:tcPr>
            <w:tcW w:w="3960" w:type="dxa"/>
          </w:tcPr>
          <w:p w14:paraId="53C22A43" w14:textId="77777777" w:rsidR="00D867AA" w:rsidRDefault="00000000">
            <w:pPr>
              <w:pStyle w:val="Compact"/>
            </w:pPr>
            <w:r>
              <w:t>Success Criteria</w:t>
            </w:r>
          </w:p>
        </w:tc>
      </w:tr>
      <w:tr w:rsidR="00D867AA" w14:paraId="4AB57B83" w14:textId="77777777">
        <w:tc>
          <w:tcPr>
            <w:tcW w:w="3960" w:type="dxa"/>
          </w:tcPr>
          <w:p w14:paraId="4ABFE3BC" w14:textId="2660B969" w:rsidR="002D1231" w:rsidRDefault="00977178">
            <w:pPr>
              <w:pStyle w:val="Compact"/>
            </w:pPr>
            <w:r w:rsidRPr="00977178">
              <w:t>Disadvantaged pupils secure the foundational language and vocabulary needed to access the curriculum.</w:t>
            </w:r>
          </w:p>
        </w:tc>
        <w:tc>
          <w:tcPr>
            <w:tcW w:w="3960" w:type="dxa"/>
          </w:tcPr>
          <w:p w14:paraId="1E93AE5F" w14:textId="1BF21B4F" w:rsidR="00977178" w:rsidRPr="00977178" w:rsidRDefault="00977178" w:rsidP="00977178">
            <w:pPr>
              <w:pStyle w:val="Compact"/>
              <w:rPr>
                <w:lang w:val="en-GB"/>
              </w:rPr>
            </w:pPr>
            <w:r w:rsidRPr="00977178">
              <w:rPr>
                <w:lang w:val="en-GB"/>
              </w:rPr>
              <w:t xml:space="preserve"> ≥70% disadvantaged pupils achieve GLD</w:t>
            </w:r>
          </w:p>
          <w:p w14:paraId="22953546" w14:textId="0F62B002" w:rsidR="00977178" w:rsidRPr="00977178" w:rsidRDefault="00977178" w:rsidP="00977178">
            <w:pPr>
              <w:pStyle w:val="Compact"/>
              <w:rPr>
                <w:lang w:val="en-GB"/>
              </w:rPr>
            </w:pPr>
            <w:r w:rsidRPr="00977178">
              <w:rPr>
                <w:lang w:val="en-GB"/>
              </w:rPr>
              <w:t xml:space="preserve"> Evident progression in assessed speech, language and communication skills</w:t>
            </w:r>
          </w:p>
          <w:p w14:paraId="3E908E72" w14:textId="5D902115" w:rsidR="00D867AA" w:rsidRDefault="00D867AA">
            <w:pPr>
              <w:pStyle w:val="Compact"/>
            </w:pPr>
          </w:p>
        </w:tc>
      </w:tr>
      <w:tr w:rsidR="00D867AA" w14:paraId="4FA5E382" w14:textId="77777777">
        <w:tc>
          <w:tcPr>
            <w:tcW w:w="3960" w:type="dxa"/>
          </w:tcPr>
          <w:p w14:paraId="2F503119" w14:textId="2D6FDEA3" w:rsidR="00D867AA" w:rsidRDefault="00977178">
            <w:pPr>
              <w:pStyle w:val="Compact"/>
            </w:pPr>
            <w:r w:rsidRPr="00977178">
              <w:t>Systematic synthetic phonics teaching enables disadvantaged pupils to read accurately and fluently.</w:t>
            </w:r>
          </w:p>
        </w:tc>
        <w:tc>
          <w:tcPr>
            <w:tcW w:w="3960" w:type="dxa"/>
          </w:tcPr>
          <w:p w14:paraId="14BAF9A1" w14:textId="4D3B7C7A" w:rsidR="00977178" w:rsidRPr="00977178" w:rsidRDefault="00977178" w:rsidP="00977178">
            <w:pPr>
              <w:pStyle w:val="Compact"/>
              <w:rPr>
                <w:lang w:val="en-GB"/>
              </w:rPr>
            </w:pPr>
            <w:r w:rsidRPr="00977178">
              <w:rPr>
                <w:lang w:val="en-GB"/>
              </w:rPr>
              <w:t>≥80% disadvantaged pupils pass Y1 Phonics Screening</w:t>
            </w:r>
          </w:p>
          <w:p w14:paraId="640755B3" w14:textId="2223FA0F" w:rsidR="00977178" w:rsidRPr="00977178" w:rsidRDefault="00977178" w:rsidP="00977178">
            <w:pPr>
              <w:pStyle w:val="Compact"/>
              <w:rPr>
                <w:lang w:val="en-GB"/>
              </w:rPr>
            </w:pPr>
            <w:r w:rsidRPr="00977178">
              <w:rPr>
                <w:lang w:val="en-GB"/>
              </w:rPr>
              <w:t>Rapid catch-up intervention for pupils not yet secure</w:t>
            </w:r>
          </w:p>
          <w:p w14:paraId="32786420" w14:textId="46E10FBC" w:rsidR="00D867AA" w:rsidRDefault="00D867AA">
            <w:pPr>
              <w:pStyle w:val="Compact"/>
            </w:pPr>
          </w:p>
        </w:tc>
      </w:tr>
      <w:tr w:rsidR="00D867AA" w14:paraId="7A0D4783" w14:textId="77777777">
        <w:tc>
          <w:tcPr>
            <w:tcW w:w="3960" w:type="dxa"/>
          </w:tcPr>
          <w:p w14:paraId="2A15E1CC" w14:textId="3CBA2710" w:rsidR="00D867AA" w:rsidRDefault="00977178">
            <w:pPr>
              <w:pStyle w:val="Compact"/>
            </w:pPr>
            <w:r w:rsidRPr="00977178">
              <w:t>Disadvantaged pupils develop knowledge and skills in line with curriculum expectations and make good progress from their starting points.</w:t>
            </w:r>
          </w:p>
        </w:tc>
        <w:tc>
          <w:tcPr>
            <w:tcW w:w="3960" w:type="dxa"/>
          </w:tcPr>
          <w:p w14:paraId="7C12C92B" w14:textId="405578F6" w:rsidR="00977178" w:rsidRPr="00977178" w:rsidRDefault="00977178" w:rsidP="00977178">
            <w:pPr>
              <w:pStyle w:val="Compact"/>
              <w:rPr>
                <w:lang w:val="en-GB"/>
              </w:rPr>
            </w:pPr>
            <w:r w:rsidRPr="00977178">
              <w:rPr>
                <w:lang w:val="en-GB"/>
              </w:rPr>
              <w:t xml:space="preserve"> Attainment remains within 5% of non-disadvantaged peers</w:t>
            </w:r>
          </w:p>
          <w:p w14:paraId="77BC5E78" w14:textId="1D07ADA4" w:rsidR="00977178" w:rsidRPr="00977178" w:rsidRDefault="00977178" w:rsidP="00977178">
            <w:pPr>
              <w:pStyle w:val="Compact"/>
              <w:rPr>
                <w:lang w:val="en-GB"/>
              </w:rPr>
            </w:pPr>
            <w:r w:rsidRPr="00977178">
              <w:rPr>
                <w:lang w:val="en-GB"/>
              </w:rPr>
              <w:t>Increased proportion achieving GDS in KS1 and KS2 writing</w:t>
            </w:r>
          </w:p>
          <w:p w14:paraId="24841458" w14:textId="5D7F20C0" w:rsidR="00D867AA" w:rsidRDefault="00D867AA">
            <w:pPr>
              <w:pStyle w:val="Compact"/>
            </w:pPr>
          </w:p>
        </w:tc>
      </w:tr>
      <w:tr w:rsidR="00D867AA" w14:paraId="5DD1E75A" w14:textId="77777777">
        <w:tc>
          <w:tcPr>
            <w:tcW w:w="3960" w:type="dxa"/>
          </w:tcPr>
          <w:p w14:paraId="6A7D5ABB" w14:textId="13F08D98" w:rsidR="00D867AA" w:rsidRDefault="00977178">
            <w:pPr>
              <w:pStyle w:val="Compact"/>
            </w:pPr>
            <w:r w:rsidRPr="00977178">
              <w:t>Attendance barriers are addressed quickly and effectively.</w:t>
            </w:r>
          </w:p>
        </w:tc>
        <w:tc>
          <w:tcPr>
            <w:tcW w:w="3960" w:type="dxa"/>
          </w:tcPr>
          <w:p w14:paraId="67B47558" w14:textId="2C053B67" w:rsidR="00977178" w:rsidRPr="00977178" w:rsidRDefault="00977178" w:rsidP="00977178">
            <w:pPr>
              <w:pStyle w:val="Compact"/>
              <w:rPr>
                <w:lang w:val="en-GB"/>
              </w:rPr>
            </w:pPr>
            <w:r w:rsidRPr="00977178">
              <w:rPr>
                <w:lang w:val="en-GB"/>
              </w:rPr>
              <w:t>Disadvantaged attendance ≥95%</w:t>
            </w:r>
          </w:p>
          <w:p w14:paraId="11069620" w14:textId="3C7A2C8E" w:rsidR="00977178" w:rsidRPr="00977178" w:rsidRDefault="00977178" w:rsidP="00977178">
            <w:pPr>
              <w:pStyle w:val="Compact"/>
              <w:rPr>
                <w:lang w:val="en-GB"/>
              </w:rPr>
            </w:pPr>
            <w:r w:rsidRPr="00977178">
              <w:rPr>
                <w:lang w:val="en-GB"/>
              </w:rPr>
              <w:t>Persistent absence &lt;10%</w:t>
            </w:r>
          </w:p>
          <w:p w14:paraId="660EB8BC" w14:textId="7CA40B84" w:rsidR="00D867AA" w:rsidRDefault="00D867AA">
            <w:pPr>
              <w:pStyle w:val="Compact"/>
            </w:pPr>
          </w:p>
        </w:tc>
      </w:tr>
      <w:tr w:rsidR="00D867AA" w14:paraId="71557339" w14:textId="77777777">
        <w:tc>
          <w:tcPr>
            <w:tcW w:w="3960" w:type="dxa"/>
          </w:tcPr>
          <w:p w14:paraId="58A5467A" w14:textId="0F44717C" w:rsidR="00D867AA" w:rsidRDefault="00977178">
            <w:pPr>
              <w:pStyle w:val="Compact"/>
            </w:pPr>
            <w:r w:rsidRPr="00977178">
              <w:t>Pupils feel safe, supported and able to participate in the full range of school life.</w:t>
            </w:r>
          </w:p>
        </w:tc>
        <w:tc>
          <w:tcPr>
            <w:tcW w:w="3960" w:type="dxa"/>
          </w:tcPr>
          <w:p w14:paraId="25468D9B" w14:textId="77777777" w:rsidR="00977178" w:rsidRPr="00977178" w:rsidRDefault="00977178" w:rsidP="00977178">
            <w:pPr>
              <w:pStyle w:val="Compact"/>
              <w:rPr>
                <w:lang w:val="en-GB"/>
              </w:rPr>
            </w:pPr>
            <w:proofErr w:type="gramStart"/>
            <w:r w:rsidRPr="00977178">
              <w:rPr>
                <w:lang w:val="en-GB"/>
              </w:rPr>
              <w:t>  Positive</w:t>
            </w:r>
            <w:proofErr w:type="gramEnd"/>
            <w:r w:rsidRPr="00977178">
              <w:rPr>
                <w:lang w:val="en-GB"/>
              </w:rPr>
              <w:t xml:space="preserve"> feedback from pupil/parent voice</w:t>
            </w:r>
          </w:p>
          <w:p w14:paraId="1EB349DA" w14:textId="77777777" w:rsidR="00977178" w:rsidRPr="00977178" w:rsidRDefault="00977178" w:rsidP="00977178">
            <w:pPr>
              <w:pStyle w:val="Compact"/>
              <w:rPr>
                <w:lang w:val="en-GB"/>
              </w:rPr>
            </w:pPr>
            <w:proofErr w:type="gramStart"/>
            <w:r w:rsidRPr="00977178">
              <w:rPr>
                <w:lang w:val="en-GB"/>
              </w:rPr>
              <w:t>  High</w:t>
            </w:r>
            <w:proofErr w:type="gramEnd"/>
            <w:r w:rsidRPr="00977178">
              <w:rPr>
                <w:lang w:val="en-GB"/>
              </w:rPr>
              <w:t xml:space="preserve"> disadvantaged participation in Character &amp; Arts enrichment</w:t>
            </w:r>
          </w:p>
          <w:p w14:paraId="578DADE8" w14:textId="13DDAAA2" w:rsidR="00D867AA" w:rsidRDefault="00D867AA">
            <w:pPr>
              <w:pStyle w:val="Compact"/>
            </w:pPr>
          </w:p>
        </w:tc>
      </w:tr>
    </w:tbl>
    <w:p w14:paraId="763238A8" w14:textId="77777777" w:rsidR="00D867AA" w:rsidRDefault="00000000">
      <w:r>
        <w:pict w14:anchorId="46799AE7">
          <v:rect id="_x0000_i1125" style="width:0;height:1.5pt" o:hralign="center" o:hrstd="t" o:hr="t"/>
        </w:pict>
      </w:r>
    </w:p>
    <w:p w14:paraId="7FB4750C" w14:textId="77777777" w:rsidR="00D867AA" w:rsidRDefault="00000000">
      <w:pPr>
        <w:pStyle w:val="Heading3"/>
      </w:pPr>
      <w:bookmarkStart w:id="6" w:name="activity-in-this-academic-year"/>
      <w:bookmarkEnd w:id="5"/>
      <w:r>
        <w:t>Activity in This Academic Year</w:t>
      </w:r>
    </w:p>
    <w:p w14:paraId="48FB3C7A" w14:textId="77777777" w:rsidR="00D867AA" w:rsidRDefault="00000000">
      <w:pPr>
        <w:pStyle w:val="FirstParagraph"/>
      </w:pPr>
      <w:r>
        <w:t>This section details how we intend to spend our pupil premium funding to address the identified challenges.</w:t>
      </w:r>
    </w:p>
    <w:p w14:paraId="694BFC8B" w14:textId="77777777" w:rsidR="00D867AA" w:rsidRDefault="00000000">
      <w:pPr>
        <w:pStyle w:val="Heading4"/>
      </w:pPr>
      <w:bookmarkStart w:id="7" w:name="teaching-60000"/>
      <w:r>
        <w:lastRenderedPageBreak/>
        <w:t>Teaching (£60,000)</w:t>
      </w:r>
    </w:p>
    <w:p w14:paraId="38D9E60B" w14:textId="131E187C" w:rsidR="00977178" w:rsidRPr="00977178" w:rsidRDefault="00977178" w:rsidP="00977178">
      <w:pPr>
        <w:pStyle w:val="Heading4"/>
        <w:rPr>
          <w:b/>
          <w:bCs/>
          <w:i w:val="0"/>
          <w:iCs w:val="0"/>
          <w:color w:val="000000" w:themeColor="text1"/>
          <w:lang w:val="en-GB"/>
        </w:rPr>
      </w:pPr>
      <w:bookmarkStart w:id="8" w:name="targeted-academic-support-50000"/>
      <w:bookmarkEnd w:id="7"/>
      <w:r w:rsidRPr="00977178">
        <w:rPr>
          <w:b/>
          <w:bCs/>
          <w:i w:val="0"/>
          <w:iCs w:val="0"/>
          <w:color w:val="000000" w:themeColor="text1"/>
          <w:lang w:val="en-GB"/>
        </w:rPr>
        <w:t>A. High-Quality Teaching</w:t>
      </w:r>
    </w:p>
    <w:p w14:paraId="1A5B14A8" w14:textId="77777777" w:rsidR="00977178" w:rsidRPr="00977178" w:rsidRDefault="00977178" w:rsidP="00977178">
      <w:pPr>
        <w:pStyle w:val="Heading4"/>
        <w:numPr>
          <w:ilvl w:val="0"/>
          <w:numId w:val="7"/>
        </w:numPr>
        <w:rPr>
          <w:i w:val="0"/>
          <w:iCs w:val="0"/>
          <w:color w:val="000000" w:themeColor="text1"/>
          <w:lang w:val="en-GB"/>
        </w:rPr>
      </w:pPr>
      <w:r w:rsidRPr="00977178">
        <w:rPr>
          <w:i w:val="0"/>
          <w:iCs w:val="0"/>
          <w:color w:val="000000" w:themeColor="text1"/>
          <w:lang w:val="en-GB"/>
        </w:rPr>
        <w:t>Evidence-informed CPD focused on early reading, vocabulary development, writing instruction and adaptive teaching.</w:t>
      </w:r>
    </w:p>
    <w:p w14:paraId="333430A5" w14:textId="77777777" w:rsidR="00977178" w:rsidRPr="00977178" w:rsidRDefault="00977178" w:rsidP="00977178">
      <w:pPr>
        <w:pStyle w:val="Heading4"/>
        <w:numPr>
          <w:ilvl w:val="0"/>
          <w:numId w:val="7"/>
        </w:numPr>
        <w:rPr>
          <w:i w:val="0"/>
          <w:iCs w:val="0"/>
          <w:color w:val="000000" w:themeColor="text1"/>
          <w:lang w:val="en-GB"/>
        </w:rPr>
      </w:pPr>
      <w:r w:rsidRPr="00977178">
        <w:rPr>
          <w:i w:val="0"/>
          <w:iCs w:val="0"/>
          <w:color w:val="000000" w:themeColor="text1"/>
          <w:lang w:val="en-GB"/>
        </w:rPr>
        <w:t>Coaching and modelling to strengthen teacher subject knowledge and consistent implementation of the curriculum.</w:t>
      </w:r>
    </w:p>
    <w:p w14:paraId="743B0BF2" w14:textId="77777777" w:rsidR="00977178" w:rsidRPr="00977178" w:rsidRDefault="00977178" w:rsidP="00977178">
      <w:pPr>
        <w:pStyle w:val="Heading4"/>
        <w:numPr>
          <w:ilvl w:val="0"/>
          <w:numId w:val="7"/>
        </w:numPr>
        <w:rPr>
          <w:i w:val="0"/>
          <w:iCs w:val="0"/>
          <w:color w:val="000000" w:themeColor="text1"/>
          <w:lang w:val="en-GB"/>
        </w:rPr>
      </w:pPr>
      <w:r w:rsidRPr="00977178">
        <w:rPr>
          <w:i w:val="0"/>
          <w:iCs w:val="0"/>
          <w:color w:val="000000" w:themeColor="text1"/>
          <w:lang w:val="en-GB"/>
        </w:rPr>
        <w:t>Sequenced curriculum development time, ensuring progression in knowledge and vocabulary across subjects.</w:t>
      </w:r>
    </w:p>
    <w:p w14:paraId="1846333C" w14:textId="77777777" w:rsidR="00977178" w:rsidRPr="00977178" w:rsidRDefault="00977178" w:rsidP="00977178">
      <w:pPr>
        <w:pStyle w:val="Heading4"/>
        <w:numPr>
          <w:ilvl w:val="0"/>
          <w:numId w:val="7"/>
        </w:numPr>
        <w:rPr>
          <w:i w:val="0"/>
          <w:iCs w:val="0"/>
          <w:color w:val="000000" w:themeColor="text1"/>
          <w:lang w:val="en-GB"/>
        </w:rPr>
      </w:pPr>
      <w:r w:rsidRPr="00977178">
        <w:rPr>
          <w:i w:val="0"/>
          <w:iCs w:val="0"/>
          <w:color w:val="000000" w:themeColor="text1"/>
          <w:lang w:val="en-GB"/>
        </w:rPr>
        <w:t>Regular diagnostic assessments used to identify emerging needs and refine teaching.</w:t>
      </w:r>
    </w:p>
    <w:p w14:paraId="58284310" w14:textId="77777777" w:rsidR="00977178" w:rsidRPr="00977178" w:rsidRDefault="00977178" w:rsidP="00977178">
      <w:pPr>
        <w:pStyle w:val="Heading4"/>
        <w:numPr>
          <w:ilvl w:val="0"/>
          <w:numId w:val="7"/>
        </w:numPr>
        <w:rPr>
          <w:i w:val="0"/>
          <w:iCs w:val="0"/>
          <w:color w:val="000000" w:themeColor="text1"/>
          <w:lang w:val="en-GB"/>
        </w:rPr>
      </w:pPr>
      <w:r w:rsidRPr="00977178">
        <w:rPr>
          <w:i w:val="0"/>
          <w:iCs w:val="0"/>
          <w:color w:val="000000" w:themeColor="text1"/>
          <w:lang w:val="en-GB"/>
        </w:rPr>
        <w:t>Use of high-quality materials aligned with systematic synthetic phonics and writing progression.</w:t>
      </w:r>
    </w:p>
    <w:p w14:paraId="311DBB00" w14:textId="77777777" w:rsidR="00D867AA" w:rsidRDefault="00000000">
      <w:pPr>
        <w:pStyle w:val="Heading4"/>
      </w:pPr>
      <w:r>
        <w:t>Targeted Academic Support (£50,000)</w:t>
      </w:r>
    </w:p>
    <w:p w14:paraId="21F958E5" w14:textId="2AD752D2" w:rsidR="00977178" w:rsidRPr="00977178" w:rsidRDefault="00977178" w:rsidP="00977178">
      <w:pPr>
        <w:pStyle w:val="Heading4"/>
        <w:rPr>
          <w:b/>
          <w:bCs/>
          <w:i w:val="0"/>
          <w:iCs w:val="0"/>
          <w:color w:val="000000" w:themeColor="text1"/>
          <w:lang w:val="en-GB"/>
        </w:rPr>
      </w:pPr>
      <w:bookmarkStart w:id="9" w:name="wider-strategies-27865"/>
      <w:bookmarkEnd w:id="8"/>
      <w:r w:rsidRPr="00977178">
        <w:rPr>
          <w:b/>
          <w:bCs/>
          <w:i w:val="0"/>
          <w:iCs w:val="0"/>
          <w:color w:val="000000" w:themeColor="text1"/>
          <w:lang w:val="en-GB"/>
        </w:rPr>
        <w:t xml:space="preserve">B. Targeted Academic Support </w:t>
      </w:r>
    </w:p>
    <w:p w14:paraId="75D41325" w14:textId="5FAA86A4" w:rsidR="00977178" w:rsidRPr="00977178" w:rsidRDefault="00977178" w:rsidP="00977178">
      <w:pPr>
        <w:pStyle w:val="Heading4"/>
        <w:numPr>
          <w:ilvl w:val="0"/>
          <w:numId w:val="8"/>
        </w:numPr>
        <w:rPr>
          <w:i w:val="0"/>
          <w:iCs w:val="0"/>
          <w:color w:val="000000" w:themeColor="text1"/>
          <w:lang w:val="en-GB"/>
        </w:rPr>
      </w:pPr>
      <w:r>
        <w:rPr>
          <w:i w:val="0"/>
          <w:iCs w:val="0"/>
          <w:color w:val="000000" w:themeColor="text1"/>
          <w:lang w:val="en-GB"/>
        </w:rPr>
        <w:t xml:space="preserve">Animaphonics </w:t>
      </w:r>
      <w:r w:rsidRPr="00977178">
        <w:rPr>
          <w:i w:val="0"/>
          <w:iCs w:val="0"/>
          <w:color w:val="000000" w:themeColor="text1"/>
          <w:lang w:val="en-GB"/>
        </w:rPr>
        <w:t>catch-up programmes with fidelity to the scheme.</w:t>
      </w:r>
    </w:p>
    <w:p w14:paraId="63EF56FE" w14:textId="77777777" w:rsidR="00977178" w:rsidRPr="00977178" w:rsidRDefault="00977178" w:rsidP="00977178">
      <w:pPr>
        <w:pStyle w:val="Heading4"/>
        <w:numPr>
          <w:ilvl w:val="0"/>
          <w:numId w:val="8"/>
        </w:numPr>
        <w:rPr>
          <w:i w:val="0"/>
          <w:iCs w:val="0"/>
          <w:color w:val="000000" w:themeColor="text1"/>
          <w:lang w:val="en-GB"/>
        </w:rPr>
      </w:pPr>
      <w:proofErr w:type="spellStart"/>
      <w:r w:rsidRPr="00977178">
        <w:rPr>
          <w:i w:val="0"/>
          <w:iCs w:val="0"/>
          <w:color w:val="000000" w:themeColor="text1"/>
          <w:lang w:val="en-GB"/>
        </w:rPr>
        <w:t>Lexonik</w:t>
      </w:r>
      <w:proofErr w:type="spellEnd"/>
      <w:r w:rsidRPr="00977178">
        <w:rPr>
          <w:i w:val="0"/>
          <w:iCs w:val="0"/>
          <w:color w:val="000000" w:themeColor="text1"/>
          <w:lang w:val="en-GB"/>
        </w:rPr>
        <w:t xml:space="preserve"> Leap and structured KS2 fluency teaching for pupils with delayed reading.</w:t>
      </w:r>
    </w:p>
    <w:p w14:paraId="6FE9457B" w14:textId="77777777" w:rsidR="00977178" w:rsidRPr="00977178" w:rsidRDefault="00977178" w:rsidP="00977178">
      <w:pPr>
        <w:pStyle w:val="Heading4"/>
        <w:numPr>
          <w:ilvl w:val="0"/>
          <w:numId w:val="8"/>
        </w:numPr>
        <w:rPr>
          <w:i w:val="0"/>
          <w:iCs w:val="0"/>
          <w:color w:val="000000" w:themeColor="text1"/>
          <w:lang w:val="en-GB"/>
        </w:rPr>
      </w:pPr>
      <w:r w:rsidRPr="00977178">
        <w:rPr>
          <w:i w:val="0"/>
          <w:iCs w:val="0"/>
          <w:color w:val="000000" w:themeColor="text1"/>
          <w:lang w:val="en-GB"/>
        </w:rPr>
        <w:t>Speech &amp; Language interventions for EYFS/KS1 based on specialist recommendations.</w:t>
      </w:r>
    </w:p>
    <w:p w14:paraId="631B7F82" w14:textId="77777777" w:rsidR="00977178" w:rsidRPr="00977178" w:rsidRDefault="00977178" w:rsidP="00977178">
      <w:pPr>
        <w:pStyle w:val="Heading4"/>
        <w:numPr>
          <w:ilvl w:val="0"/>
          <w:numId w:val="8"/>
        </w:numPr>
        <w:rPr>
          <w:i w:val="0"/>
          <w:iCs w:val="0"/>
          <w:color w:val="000000" w:themeColor="text1"/>
          <w:lang w:val="en-GB"/>
        </w:rPr>
      </w:pPr>
      <w:r w:rsidRPr="00977178">
        <w:rPr>
          <w:i w:val="0"/>
          <w:iCs w:val="0"/>
          <w:color w:val="000000" w:themeColor="text1"/>
          <w:lang w:val="en-GB"/>
        </w:rPr>
        <w:t>Writing conferencing and structured small-group tuition for KS2 disadvantaged pupils.</w:t>
      </w:r>
    </w:p>
    <w:p w14:paraId="3DB3A5D5" w14:textId="77777777" w:rsidR="00D867AA" w:rsidRDefault="00000000">
      <w:pPr>
        <w:pStyle w:val="Heading4"/>
      </w:pPr>
      <w:r>
        <w:t>Wider Strategies (£27,865)</w:t>
      </w:r>
    </w:p>
    <w:p w14:paraId="28BE1A46" w14:textId="2B6F22D2" w:rsidR="00977178" w:rsidRPr="00977178" w:rsidRDefault="00977178" w:rsidP="00977178">
      <w:pPr>
        <w:rPr>
          <w:b/>
          <w:bCs/>
          <w:lang w:val="en-GB"/>
        </w:rPr>
      </w:pPr>
      <w:r w:rsidRPr="00977178">
        <w:rPr>
          <w:b/>
          <w:bCs/>
          <w:lang w:val="en-GB"/>
        </w:rPr>
        <w:t xml:space="preserve">Wider Strategies </w:t>
      </w:r>
    </w:p>
    <w:p w14:paraId="2002B830" w14:textId="77777777" w:rsidR="00977178" w:rsidRPr="00977178" w:rsidRDefault="00977178" w:rsidP="00977178">
      <w:pPr>
        <w:numPr>
          <w:ilvl w:val="0"/>
          <w:numId w:val="9"/>
        </w:numPr>
        <w:rPr>
          <w:lang w:val="en-GB"/>
        </w:rPr>
      </w:pPr>
      <w:r w:rsidRPr="00977178">
        <w:rPr>
          <w:lang w:val="en-GB"/>
        </w:rPr>
        <w:t>Attendance officer oversight of disadvantaged attendance profiles, monitoring and rapid intervention.</w:t>
      </w:r>
    </w:p>
    <w:p w14:paraId="2360CB3A" w14:textId="77777777" w:rsidR="00977178" w:rsidRPr="00977178" w:rsidRDefault="00977178" w:rsidP="00977178">
      <w:pPr>
        <w:numPr>
          <w:ilvl w:val="0"/>
          <w:numId w:val="9"/>
        </w:numPr>
        <w:rPr>
          <w:lang w:val="en-GB"/>
        </w:rPr>
      </w:pPr>
      <w:r w:rsidRPr="00977178">
        <w:rPr>
          <w:lang w:val="en-GB"/>
        </w:rPr>
        <w:t>Incentive systems, improved communication and family support to promote regular attendance.</w:t>
      </w:r>
    </w:p>
    <w:p w14:paraId="536135FA" w14:textId="77777777" w:rsidR="00977178" w:rsidRPr="00977178" w:rsidRDefault="00977178" w:rsidP="00977178">
      <w:pPr>
        <w:numPr>
          <w:ilvl w:val="0"/>
          <w:numId w:val="9"/>
        </w:numPr>
        <w:rPr>
          <w:lang w:val="en-GB"/>
        </w:rPr>
      </w:pPr>
      <w:r w:rsidRPr="00977178">
        <w:rPr>
          <w:lang w:val="en-GB"/>
        </w:rPr>
        <w:t>Breakfast/Nurture Club to ensure readiness to learn and reduce barriers linked to welfare and food security.</w:t>
      </w:r>
    </w:p>
    <w:p w14:paraId="5360A3B7" w14:textId="77777777" w:rsidR="00977178" w:rsidRPr="00977178" w:rsidRDefault="00977178" w:rsidP="00977178">
      <w:pPr>
        <w:numPr>
          <w:ilvl w:val="0"/>
          <w:numId w:val="9"/>
        </w:numPr>
        <w:rPr>
          <w:lang w:val="en-GB"/>
        </w:rPr>
      </w:pPr>
      <w:r w:rsidRPr="00977178">
        <w:rPr>
          <w:lang w:val="en-GB"/>
        </w:rPr>
        <w:t>Character &amp; Arts enrichment aligned with cultural capital, vocabulary development, and confidence-building.</w:t>
      </w:r>
    </w:p>
    <w:p w14:paraId="3D7592E6" w14:textId="77777777" w:rsidR="00977178" w:rsidRPr="00977178" w:rsidRDefault="00977178" w:rsidP="00977178">
      <w:pPr>
        <w:numPr>
          <w:ilvl w:val="0"/>
          <w:numId w:val="9"/>
        </w:numPr>
        <w:rPr>
          <w:lang w:val="en-GB"/>
        </w:rPr>
      </w:pPr>
      <w:r w:rsidRPr="00977178">
        <w:rPr>
          <w:lang w:val="en-GB"/>
        </w:rPr>
        <w:t>Family engagement sessions focused on reading routines, wellbeing and supporting learning at home.</w:t>
      </w:r>
    </w:p>
    <w:p w14:paraId="5EE18A36" w14:textId="77777777" w:rsidR="00D867AA" w:rsidRDefault="00000000">
      <w:r>
        <w:pict w14:anchorId="4238608A">
          <v:rect id="_x0000_i1126" style="width:0;height:1.5pt" o:hralign="center" o:hrstd="t" o:hr="t"/>
        </w:pict>
      </w:r>
    </w:p>
    <w:p w14:paraId="0D802CA3" w14:textId="77777777" w:rsidR="00D867AA" w:rsidRDefault="00000000">
      <w:pPr>
        <w:pStyle w:val="Heading2"/>
      </w:pPr>
      <w:bookmarkStart w:id="10" w:name="X17bbc16b7fce13dd07645a21383217aa28ee071"/>
      <w:bookmarkEnd w:id="2"/>
      <w:bookmarkEnd w:id="6"/>
      <w:bookmarkEnd w:id="9"/>
      <w:r>
        <w:lastRenderedPageBreak/>
        <w:t>Part B: Review of the Previous Academic Year</w:t>
      </w:r>
    </w:p>
    <w:p w14:paraId="093D15BA" w14:textId="77777777" w:rsidR="00D867AA" w:rsidRDefault="00000000">
      <w:pPr>
        <w:pStyle w:val="Heading3"/>
      </w:pPr>
      <w:bookmarkStart w:id="11" w:name="outcomes-for-disadvantaged-pupils-202425"/>
      <w:r>
        <w:t>Outcomes for Disadvantaged Pupils (2024/25)</w:t>
      </w:r>
    </w:p>
    <w:p w14:paraId="6081595F" w14:textId="77777777" w:rsidR="00977178" w:rsidRPr="00977178" w:rsidRDefault="00977178" w:rsidP="00977178">
      <w:pPr>
        <w:rPr>
          <w:lang w:val="en-GB"/>
        </w:rPr>
      </w:pPr>
      <w:r w:rsidRPr="00977178">
        <w:rPr>
          <w:lang w:val="en-GB"/>
        </w:rPr>
        <w:t>The 2024/25 outcomes indicate that disadvantaged pupils made strong progress from their starting points, particularly in phonics and higher-order attainment at KS2.</w:t>
      </w:r>
    </w:p>
    <w:p w14:paraId="5D4E8C65" w14:textId="77777777" w:rsidR="00977178" w:rsidRPr="00977178" w:rsidRDefault="00977178" w:rsidP="00977178">
      <w:pPr>
        <w:numPr>
          <w:ilvl w:val="0"/>
          <w:numId w:val="10"/>
        </w:numPr>
        <w:rPr>
          <w:lang w:val="en-GB"/>
        </w:rPr>
      </w:pPr>
      <w:r w:rsidRPr="00977178">
        <w:rPr>
          <w:lang w:val="en-GB"/>
        </w:rPr>
        <w:t>EYFS: Although fewer disadvantaged pupils achieved GLD in reading and writing, leaders responded swiftly by strengthening early vocabulary and communication strategies.</w:t>
      </w:r>
    </w:p>
    <w:p w14:paraId="296CD456" w14:textId="77777777" w:rsidR="00977178" w:rsidRPr="00977178" w:rsidRDefault="00977178" w:rsidP="00977178">
      <w:pPr>
        <w:numPr>
          <w:ilvl w:val="0"/>
          <w:numId w:val="10"/>
        </w:numPr>
        <w:rPr>
          <w:lang w:val="en-GB"/>
        </w:rPr>
      </w:pPr>
      <w:r w:rsidRPr="00977178">
        <w:rPr>
          <w:lang w:val="en-GB"/>
        </w:rPr>
        <w:t>Phonics: Disadvantaged pupils outperformed their peers in both Y1 and Y2 checks. This reflects consistent, high-quality early reading teaching and additional practice.</w:t>
      </w:r>
    </w:p>
    <w:p w14:paraId="4F1AB252" w14:textId="77777777" w:rsidR="00977178" w:rsidRPr="00977178" w:rsidRDefault="00977178" w:rsidP="00977178">
      <w:pPr>
        <w:numPr>
          <w:ilvl w:val="0"/>
          <w:numId w:val="10"/>
        </w:numPr>
        <w:rPr>
          <w:lang w:val="en-GB"/>
        </w:rPr>
      </w:pPr>
      <w:r w:rsidRPr="00977178">
        <w:rPr>
          <w:lang w:val="en-GB"/>
        </w:rPr>
        <w:t>KS2: GDS outcomes for disadvantaged pupils increased in reading, writing and maths, demonstrating high expectations and effective deepening of knowledge.</w:t>
      </w:r>
    </w:p>
    <w:p w14:paraId="4E37CDC7" w14:textId="77777777" w:rsidR="00977178" w:rsidRPr="00977178" w:rsidRDefault="00977178" w:rsidP="00977178">
      <w:pPr>
        <w:numPr>
          <w:ilvl w:val="0"/>
          <w:numId w:val="10"/>
        </w:numPr>
        <w:rPr>
          <w:lang w:val="en-GB"/>
        </w:rPr>
      </w:pPr>
      <w:r w:rsidRPr="00977178">
        <w:rPr>
          <w:lang w:val="en-GB"/>
        </w:rPr>
        <w:t>Writing: Disadvantaged outcomes remained stable while non-disadvantaged declined slightly, indicating that teaching adaptations have reduced writing barriers for these pupils.</w:t>
      </w:r>
    </w:p>
    <w:p w14:paraId="4DDE2AE7" w14:textId="77777777" w:rsidR="00977178" w:rsidRPr="00977178" w:rsidRDefault="00977178" w:rsidP="00977178">
      <w:pPr>
        <w:numPr>
          <w:ilvl w:val="0"/>
          <w:numId w:val="10"/>
        </w:numPr>
        <w:rPr>
          <w:lang w:val="en-GB"/>
        </w:rPr>
      </w:pPr>
      <w:r w:rsidRPr="00977178">
        <w:rPr>
          <w:lang w:val="en-GB"/>
        </w:rPr>
        <w:t>Maths: Although expected standard percentages decreased, a significant rise in GDS for disadvantaged pupils suggests strong reasoning focus and effective targeted support.</w:t>
      </w:r>
    </w:p>
    <w:p w14:paraId="5F20B110" w14:textId="77777777" w:rsidR="00977178" w:rsidRPr="00977178" w:rsidRDefault="00977178" w:rsidP="00977178">
      <w:pPr>
        <w:rPr>
          <w:lang w:val="en-GB"/>
        </w:rPr>
      </w:pPr>
      <w:r w:rsidRPr="00977178">
        <w:rPr>
          <w:lang w:val="en-GB"/>
        </w:rPr>
        <w:t>Leaders continue to refine the strategy based on well-analysed evidence, with a strong focus this year on closing early literacy gaps and sustaining higher attainment in KS2.</w:t>
      </w:r>
    </w:p>
    <w:p w14:paraId="541DC1DF" w14:textId="77777777" w:rsidR="00D867AA" w:rsidRDefault="00000000">
      <w:r>
        <w:pict w14:anchorId="07DC790F">
          <v:rect id="_x0000_i1127" style="width:0;height:1.5pt" o:hralign="center" o:hrstd="t" o:hr="t"/>
        </w:pict>
      </w:r>
    </w:p>
    <w:p w14:paraId="14A35A70" w14:textId="77777777" w:rsidR="00D867AA" w:rsidRDefault="00000000">
      <w:pPr>
        <w:pStyle w:val="Heading2"/>
      </w:pPr>
      <w:bookmarkStart w:id="12" w:name="further-information"/>
      <w:bookmarkEnd w:id="10"/>
      <w:bookmarkEnd w:id="11"/>
      <w:r>
        <w:t>Further Information</w:t>
      </w:r>
    </w:p>
    <w:bookmarkEnd w:id="12"/>
    <w:p w14:paraId="385DB09A" w14:textId="77777777" w:rsidR="006B2457" w:rsidRPr="006B2457" w:rsidRDefault="006B2457" w:rsidP="006B2457">
      <w:pPr>
        <w:pStyle w:val="FirstParagraph"/>
        <w:rPr>
          <w:lang w:val="en-GB"/>
        </w:rPr>
      </w:pPr>
      <w:r w:rsidRPr="006B2457">
        <w:rPr>
          <w:lang w:val="en-GB"/>
        </w:rPr>
        <w:t>Our Pupil Premium strategy is embedded within the wider school improvement plan and the Character &amp; Arts curriculum. This ensures disadvantaged pupils benefit from a rich, ambitious and inclusive curriculum that builds foundational knowledge, broadens experiences and develops resilience, confidence and aspiration.</w:t>
      </w:r>
    </w:p>
    <w:p w14:paraId="7D4CD145" w14:textId="77777777" w:rsidR="006B2457" w:rsidRPr="006B2457" w:rsidRDefault="006B2457" w:rsidP="006B2457">
      <w:pPr>
        <w:pStyle w:val="FirstParagraph"/>
        <w:rPr>
          <w:lang w:val="en-GB"/>
        </w:rPr>
      </w:pPr>
      <w:r w:rsidRPr="006B2457">
        <w:rPr>
          <w:lang w:val="en-GB"/>
        </w:rPr>
        <w:t>The strategy is informed by the best available evidence, including EEF guidance, internal assessment data, specialist input and parent/pupil voice. Leaders monitor the impact rigorously and adapt provision through a continuous cycle of assess–plan–do–review, ensuring that approaches remain responsive to pupil needs and effective in removing barriers.</w:t>
      </w:r>
    </w:p>
    <w:p w14:paraId="59D126AB" w14:textId="5AA6497A" w:rsidR="00D867AA" w:rsidRDefault="00D867AA" w:rsidP="006B2457">
      <w:pPr>
        <w:pStyle w:val="FirstParagraph"/>
      </w:pPr>
    </w:p>
    <w:sectPr w:rsidR="00D867A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54EF6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9F462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B321F63"/>
    <w:multiLevelType w:val="multilevel"/>
    <w:tmpl w:val="8C9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90BB2"/>
    <w:multiLevelType w:val="multilevel"/>
    <w:tmpl w:val="C1A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C2480"/>
    <w:multiLevelType w:val="multilevel"/>
    <w:tmpl w:val="08E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85384"/>
    <w:multiLevelType w:val="multilevel"/>
    <w:tmpl w:val="740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052494">
    <w:abstractNumId w:val="0"/>
  </w:num>
  <w:num w:numId="2" w16cid:durableId="359278576">
    <w:abstractNumId w:val="1"/>
  </w:num>
  <w:num w:numId="3" w16cid:durableId="2017226619">
    <w:abstractNumId w:val="1"/>
  </w:num>
  <w:num w:numId="4" w16cid:durableId="1142118914">
    <w:abstractNumId w:val="1"/>
  </w:num>
  <w:num w:numId="5" w16cid:durableId="1801995798">
    <w:abstractNumId w:val="1"/>
  </w:num>
  <w:num w:numId="6" w16cid:durableId="753205261">
    <w:abstractNumId w:val="1"/>
  </w:num>
  <w:num w:numId="7" w16cid:durableId="1512406088">
    <w:abstractNumId w:val="3"/>
  </w:num>
  <w:num w:numId="8" w16cid:durableId="1145272993">
    <w:abstractNumId w:val="4"/>
  </w:num>
  <w:num w:numId="9" w16cid:durableId="274489222">
    <w:abstractNumId w:val="2"/>
  </w:num>
  <w:num w:numId="10" w16cid:durableId="348139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D867AA"/>
    <w:rsid w:val="002D1231"/>
    <w:rsid w:val="006B2457"/>
    <w:rsid w:val="00977178"/>
    <w:rsid w:val="00D867AA"/>
    <w:rsid w:val="00E2163C"/>
    <w:rsid w:val="00EC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301C"/>
  <w15:docId w15:val="{56F2DEA8-BFF0-4133-AC4D-AC2F8A03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steele</dc:creator>
  <cp:keywords/>
  <cp:lastModifiedBy>tina steele</cp:lastModifiedBy>
  <cp:revision>2</cp:revision>
  <dcterms:created xsi:type="dcterms:W3CDTF">2025-11-10T10:07:00Z</dcterms:created>
  <dcterms:modified xsi:type="dcterms:W3CDTF">2025-11-10T10:07:00Z</dcterms:modified>
</cp:coreProperties>
</file>